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213" w:rsidRPr="00D56213" w:rsidRDefault="00D56213" w:rsidP="00D562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Анализ проекта разработки ML-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антифрод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-системы с использованием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(модификация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Business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Model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Canvas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адаптированная для ИИ/ML-проектов) позволяет структурировать ключевые аспекты инициативы: от ценностного предложения до этических рисков. Ниже приведён заполненный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данного проекта.</w:t>
      </w:r>
    </w:p>
    <w:p w:rsidR="00D56213" w:rsidRPr="00D56213" w:rsidRDefault="00D56213" w:rsidP="00D56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43" style="width:0;height:0" o:hralign="center" o:hrstd="t" o:hr="t" fillcolor="#a0a0a0" stroked="f"/>
        </w:pict>
      </w:r>
    </w:p>
    <w:p w:rsidR="00D56213" w:rsidRPr="00D56213" w:rsidRDefault="00D56213" w:rsidP="00D562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MISSION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для ML-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антифрод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-системы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8196"/>
      </w:tblGrid>
      <w:tr w:rsidR="00D56213" w:rsidRPr="00D56213" w:rsidTr="00D56213">
        <w:trPr>
          <w:tblHeader/>
        </w:trPr>
        <w:tc>
          <w:tcPr>
            <w:tcW w:w="875" w:type="pct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4"/>
                <w:szCs w:val="24"/>
                <w:lang w:eastAsia="ru-RU"/>
              </w:rPr>
            </w:pPr>
          </w:p>
        </w:tc>
        <w:tc>
          <w:tcPr>
            <w:tcW w:w="4125" w:type="pct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1.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Motivation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(Мотивация)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Снижение финансовых потерь от мошенничества до уровня конкурентов (≤ 500 тыс. ₽/</w:t>
            </w:r>
            <w:proofErr w:type="spellStart"/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мес.Предотвращение</w:t>
            </w:r>
            <w:proofErr w:type="spellEnd"/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оттока клиентов за счёт ограничения ложных срабатываний (FPR ≤ 5%).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Поддержание конкурентоспособности компании на рынке финансовых/платёжных услуг.</w:t>
            </w: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2.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Impact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(Воздействие)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Финансовый: снижение убытков от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фрода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на десятки–сотни тысяч рублей </w:t>
            </w:r>
            <w:proofErr w:type="spellStart"/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ежемесячно.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Операционный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автоматизация проверки транзакций → снижение нагрузки на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аналитиков.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Репутационный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повышение доверия клиентов за счёт надёжной и ненавязчивой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защиты.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Риски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: утечка персональных данных при нарушении конфиденциальности → штрафы, репутационный ущерб.</w:t>
            </w: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3.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Stakeholders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(Заинтересованные стороны)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Заказчик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(руководство компании) — ожидает ROI и соответствие бюджету (≤10 млн ₽).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Клиенты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— ожидают бесперебойных и безопасных транзакций без ложных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блокировок.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Бизнес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-аналитики и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фрод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-аналитики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пользователи системы, нуждаются в интерпретируемости решений.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DevOps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/ инфраструктурная команда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— отвечает за развертывание в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Yandex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Cloud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Регуляторы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— требуют соблюдения законов о защите персональных данных (ФЗ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noBreakHyphen/>
              <w:t>152 и др.).</w:t>
            </w: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4.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Solution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(Решение)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ML-система бинарной классификации транзакций (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фрод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/ не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фрод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), развернутая в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Yandex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Cloud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Обработка входных данных в формате CSV в реальном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времени.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Архитектура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feature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extraction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→ модель (например, градиентный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бустинг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или ансамбль) → API для принятия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решений.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Поддержка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онлайн-обновления модели и мониторинга дрейфа данных.</w:t>
            </w: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5.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Inputs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(Входные данные)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Исторические CSV-файлы с транзакциями (включая персональные данные клиентов</w:t>
            </w:r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).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Признаки: сумма, время, геолокация, устройство, поведенческие паттерны, история клиента и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др.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Метки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наличие/отсутствие мошенничества (может быть частично недоступна →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semi-supervised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подход).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Требования: данные конфиденциальны, обрабатываются только в защищённой облачной среде</w:t>
            </w:r>
            <w:bookmarkStart w:id="0" w:name="_GoBack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bookmarkEnd w:id="0"/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6.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Outputs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(Выходные данные)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Бинарное решение: «разрешить» / «заблокировать» </w:t>
            </w:r>
            <w:proofErr w:type="spellStart"/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транзакцию.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Вероятность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мошенничества (для последующей калибровки порога).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Объяснение решения (например, через SHAP или LIME) для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аналитиков.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Метрики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качества: FPR,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Recall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, F0.5, оценка ущерба.</w:t>
            </w:r>
          </w:p>
        </w:tc>
      </w:tr>
      <w:tr w:rsidR="00D56213" w:rsidRPr="00D56213" w:rsidTr="00D56213">
        <w:tc>
          <w:tcPr>
            <w:tcW w:w="875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lastRenderedPageBreak/>
              <w:t xml:space="preserve">7.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Norms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&amp;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Ethics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(Нормы и этика)</w:t>
            </w:r>
          </w:p>
        </w:tc>
        <w:tc>
          <w:tcPr>
            <w:tcW w:w="4125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D56213" w:rsidRPr="00D56213" w:rsidRDefault="00D56213" w:rsidP="00D56213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Соблюдение ФЗ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noBreakHyphen/>
              <w:t xml:space="preserve">152: персональные данные не покидают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Yandex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Cloud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, шифруются, доступ </w:t>
            </w:r>
            <w:proofErr w:type="spellStart"/>
            <w:proofErr w:type="gram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ограничен.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proofErr w:type="gram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Отсутствие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дискриминации: модель не должна использовать чувствительные признаки (раса, пол и т.п.), даже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косвенно.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Прозрачность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возможность объяснить клиенту или регулятору причину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блокировки.</w:t>
            </w:r>
            <w:r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.</w:t>
            </w:r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Аудит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: все решения </w:t>
            </w:r>
            <w:proofErr w:type="spellStart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логируются</w:t>
            </w:r>
            <w:proofErr w:type="spellEnd"/>
            <w:r w:rsidRPr="00D56213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, модель подлежит регулярной переоценке.</w:t>
            </w:r>
          </w:p>
        </w:tc>
      </w:tr>
    </w:tbl>
    <w:p w:rsidR="00D56213" w:rsidRPr="00D56213" w:rsidRDefault="00D56213" w:rsidP="00D56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44" style="width:0;height:0" o:hralign="center" o:hrstd="t" o:hr="t" fillcolor="#a0a0a0" stroked="f"/>
        </w:pict>
      </w:r>
    </w:p>
    <w:p w:rsidR="00D56213" w:rsidRPr="00D56213" w:rsidRDefault="00D56213" w:rsidP="00D562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Ключевые выводы из MISSION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Canvas</w:t>
      </w:r>
      <w:proofErr w:type="spellEnd"/>
    </w:p>
    <w:p w:rsidR="00D56213" w:rsidRPr="00D56213" w:rsidRDefault="00D56213" w:rsidP="00D5621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Баланс между бизнес-рисками и техническими возможностями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главный вызов. Система должна быть одновременно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чувствительной к </w:t>
      </w:r>
      <w:proofErr w:type="spellStart"/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фроду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осторожной с легитимными клиентами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D56213" w:rsidRPr="00D56213" w:rsidRDefault="00D56213" w:rsidP="00D5621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Конфиденциальность и облачная архитектура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не просто технические требования, а юридические и репутационные обязательства.</w:t>
      </w:r>
    </w:p>
    <w:p w:rsidR="00D56213" w:rsidRPr="00D56213" w:rsidRDefault="00D56213" w:rsidP="00D5621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Ограниченный бюджет и жёсткие сроки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(MVP за 3 месяца) требуют использования проверенных, легко развертываемых решений (например,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CatBoost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+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DataLens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+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Cloud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Functions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D56213" w:rsidRPr="00D56213" w:rsidRDefault="00D56213" w:rsidP="00D5621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Интерпретируемость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не «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nice-to-have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», а необходимость для аналитиков и соответствия нормативным требованиям.</w:t>
      </w:r>
    </w:p>
    <w:p w:rsidR="00D56213" w:rsidRPr="00D56213" w:rsidRDefault="00D56213" w:rsidP="00D56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45" style="width:0;height:0" o:hralign="center" o:hrstd="t" o:hr="t" fillcolor="#a0a0a0" stroked="f"/>
        </w:pict>
      </w:r>
    </w:p>
    <w:p w:rsidR="00D56213" w:rsidRPr="00D56213" w:rsidRDefault="00D56213" w:rsidP="00D5621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Этот анализ позволяет команде проекта сфокусироваться на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ключевых приоритетах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избежать «</w:t>
      </w:r>
      <w:proofErr w:type="spellStart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переинжиниринга</w:t>
      </w:r>
      <w:proofErr w:type="spellEnd"/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» и обеспечить </w:t>
      </w:r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соответствие как </w:t>
      </w:r>
      <w:proofErr w:type="gramStart"/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бизнес-,</w:t>
      </w:r>
      <w:proofErr w:type="gramEnd"/>
      <w:r w:rsidRPr="00D5621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так и этическим ожиданиям заказчика</w:t>
      </w:r>
      <w:r w:rsidRPr="00D5621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3E20D5" w:rsidRDefault="003E20D5"/>
    <w:sectPr w:rsidR="003E20D5" w:rsidSect="00D56213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E5E1B"/>
    <w:multiLevelType w:val="multilevel"/>
    <w:tmpl w:val="0BF0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13"/>
    <w:rsid w:val="003E20D5"/>
    <w:rsid w:val="00D5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E212"/>
  <w15:chartTrackingRefBased/>
  <w15:docId w15:val="{4A8BD611-2EDE-4930-B38D-E37FB24A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56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562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0686052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1307792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252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98739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31236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6116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76502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44633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4251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94225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85438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97053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058649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59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1164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096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92545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80516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51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9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9651791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238714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0793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35448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36052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713598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265163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80793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01050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267315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55323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6019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8382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659365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09895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2790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367483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48087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1</cp:revision>
  <dcterms:created xsi:type="dcterms:W3CDTF">2025-11-01T11:01:00Z</dcterms:created>
  <dcterms:modified xsi:type="dcterms:W3CDTF">2025-11-01T11:05:00Z</dcterms:modified>
</cp:coreProperties>
</file>