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B2545"/>
          <w:sz w:val="50"/>
        </w:rPr>
        <w:t>Atlas 客户支持事件响应手册</w:t>
      </w:r>
    </w:p>
    <w:p>
      <w:pPr>
        <w:pStyle w:val="Subtitle"/>
      </w:pPr>
      <w:r>
        <w:rPr>
          <w:rFonts w:ascii="Microsoft YaHei" w:hAnsi="Microsoft YaHei" w:eastAsia="Microsoft YaHei"/>
          <w:b w:val="0"/>
          <w:color w:val="4B5563"/>
          <w:sz w:val="24"/>
        </w:rPr>
        <w:t>版本 2026.4 - 严重度、优先级与升级路径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生效日期：</w:t>
      </w:r>
      <w:r>
        <w:rPr>
          <w:rFonts w:ascii="Microsoft YaHei" w:hAnsi="Microsoft YaHei" w:eastAsia="Microsoft YaHei"/>
          <w:b w:val="0"/>
          <w:color w:val="374151"/>
          <w:sz w:val="21"/>
        </w:rPr>
        <w:t>2026-04-20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所有者：</w:t>
      </w:r>
      <w:r>
        <w:rPr>
          <w:rFonts w:ascii="Microsoft YaHei" w:hAnsi="Microsoft YaHei" w:eastAsia="Microsoft YaHei"/>
          <w:b w:val="0"/>
          <w:color w:val="374151"/>
          <w:sz w:val="21"/>
        </w:rPr>
        <w:t>客户可靠性办公室</w:t>
      </w:r>
    </w:p>
    <w:p>
      <w:pPr>
        <w:spacing w:after="40"/>
      </w:pPr>
      <w:r>
        <w:rPr>
          <w:rFonts w:ascii="Microsoft YaHei" w:hAnsi="Microsoft YaHei" w:eastAsia="Microsoft YaHei"/>
          <w:b/>
          <w:color w:val="374151"/>
          <w:sz w:val="21"/>
        </w:rPr>
        <w:t>复审周期：</w:t>
      </w:r>
      <w:r>
        <w:rPr>
          <w:rFonts w:ascii="Microsoft YaHei" w:hAnsi="Microsoft YaHei" w:eastAsia="Microsoft YaHei"/>
          <w:b w:val="0"/>
          <w:color w:val="374151"/>
          <w:sz w:val="21"/>
        </w:rPr>
        <w:t>每 180 天</w:t>
      </w:r>
    </w:p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严重度与优先级不是同一概念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严重度 S1/S2/S3 描述客户影响和系统状态；优先级 P1/P2/P3 描述内部工作排序。一个影响单个战略客户但有替代方案的问题可以是 S2、P1；因此客服不得把 P1 自动说成 S1，也不得用优先级替代对可用性和数据风险的判断。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响应目标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1700"/>
        <w:gridCol w:w="1700"/>
        <w:gridCol w:w="2100"/>
        <w:gridCol w:w="24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严重度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首次响应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状态更新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事件指挥官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高管通知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15 分钟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每 30 分钟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立即指定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20 分钟内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 小时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每 2 小时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按需指定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通常不要求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 个工作日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重大变化时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不要求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不要求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222222"/>
          <w:sz w:val="22"/>
        </w:rPr>
        <w:t>S1 事件的首次响应目标是 15 分钟，随后每 30 分钟更新一次；事件指挥官应立即指定，高管通知必须在确认 S1 后 20 分钟内完成。S2 的首次响应目标是 1 小时，更新间隔为 2 小时。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跨团队升级与交接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值班支持工程师在确认 S1 后先建立事件频道并指定临时记录员，再由事件指挥官在 10 分钟内确认客户沟通负责人。工程团队修复服务并不自动结束事件：客户沟通负责人必须确认外部状态页已更新，记录员必须链接时间线，最后由事件指挥官宣布恢复。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数据风险与相似术语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“数据延迟”表示数据最终会到达但超过承诺时间；“数据丢失”表示记录不可恢复或需要从备份重建。前者通常从 S2 评估，后者只要涉及生产客户数据就从 S1 评估。术语相近，但升级门槛完全不同。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退款与合同边界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本手册不规定客户退款金额、服务信用额度或合同赔偿上限。支持团队只能记录影响时段并转交客户成功与法务，不能从本手册推断具体退款比例。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 xml:space="preserve">Real-world-v1 | Page </w:t>
    </w:r>
    <w:r>
      <w:rPr>
        <w:rFonts w:ascii="Microsoft YaHei" w:hAnsi="Microsoft YaHei" w:eastAsia="Microsoft YaHei"/>
        <w:b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B7280"/>
        <w:sz w:val="18"/>
      </w:rPr>
      <w:t>Atlas Support | Incident Response Playbook 2026.4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