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0B2545"/>
          <w:sz w:val="50"/>
        </w:rPr>
        <w:t>Helios 员工差旅政策（归档）</w:t>
      </w:r>
    </w:p>
    <w:p>
      <w:pPr>
        <w:pStyle w:val="Subtitle"/>
      </w:pPr>
      <w:r>
        <w:rPr>
          <w:rFonts w:ascii="Microsoft YaHei" w:hAnsi="Microsoft YaHei" w:eastAsia="Microsoft YaHei"/>
          <w:b w:val="0"/>
          <w:color w:val="4B5563"/>
          <w:sz w:val="24"/>
        </w:rPr>
        <w:t>版本 2.8 - 已被 v3.2 替代</w:t>
      </w:r>
    </w:p>
    <w:p>
      <w:pPr>
        <w:spacing w:after="40"/>
      </w:pPr>
      <w:r>
        <w:rPr>
          <w:rFonts w:ascii="Microsoft YaHei" w:hAnsi="Microsoft YaHei" w:eastAsia="Microsoft YaHei"/>
          <w:b/>
          <w:color w:val="374151"/>
          <w:sz w:val="21"/>
        </w:rPr>
        <w:t>历史生效期：</w:t>
      </w:r>
      <w:r>
        <w:rPr>
          <w:rFonts w:ascii="Microsoft YaHei" w:hAnsi="Microsoft YaHei" w:eastAsia="Microsoft YaHei"/>
          <w:b w:val="0"/>
          <w:color w:val="374151"/>
          <w:sz w:val="21"/>
        </w:rPr>
        <w:t>2025-01-15 至 2026-05-31</w:t>
      </w:r>
    </w:p>
    <w:p>
      <w:pPr>
        <w:spacing w:after="40"/>
      </w:pPr>
      <w:r>
        <w:rPr>
          <w:rFonts w:ascii="Microsoft YaHei" w:hAnsi="Microsoft YaHei" w:eastAsia="Microsoft YaHei"/>
          <w:b/>
          <w:color w:val="374151"/>
          <w:sz w:val="21"/>
        </w:rPr>
        <w:t>状态：</w:t>
      </w:r>
      <w:r>
        <w:rPr>
          <w:rFonts w:ascii="Microsoft YaHei" w:hAnsi="Microsoft YaHei" w:eastAsia="Microsoft YaHei"/>
          <w:b w:val="0"/>
          <w:color w:val="374151"/>
          <w:sz w:val="21"/>
        </w:rPr>
        <w:t>ARCHIVED / 不得用于新预订</w:t>
      </w:r>
    </w:p>
    <w:p>
      <w:pPr>
        <w:spacing w:after="40"/>
      </w:pPr>
      <w:r>
        <w:rPr>
          <w:rFonts w:ascii="Microsoft YaHei" w:hAnsi="Microsoft YaHei" w:eastAsia="Microsoft YaHei"/>
          <w:b/>
          <w:color w:val="374151"/>
          <w:sz w:val="21"/>
        </w:rPr>
        <w:t>用途：</w:t>
      </w:r>
      <w:r>
        <w:rPr>
          <w:rFonts w:ascii="Microsoft YaHei" w:hAnsi="Microsoft YaHei" w:eastAsia="Microsoft YaHei"/>
          <w:b w:val="0"/>
          <w:color w:val="374151"/>
          <w:sz w:val="21"/>
        </w:rPr>
        <w:t>仅供历史报销审计</w:t>
      </w:r>
    </w:p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归档警示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本文件自 2026 年 6 月 1 日起不再有效。任何在该日期之后发生的新预订必须查阅版本 3.2；本文件中的较低住宿上限、较短预订窗口和较宽松商务舱门槛都是历史规则。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历史舱等规则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版本 2.8 规定：单程不足 5 小时使用经济舱，5 小时至 8 小时可使用高级经济舱，超过 8 小时在部门负责人批准后可使用商务舱。机票应至少提前 7 个自然日预订。上述规则仅用于判断 2026 年 5 月 31 日及以前已完成行程的合规性。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历史住宿与日补贴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城市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历史住宿上限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历史餐费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币种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上海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760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260/日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人民币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北京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720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260/日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人民币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深圳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700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260/日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人民币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其他境内城市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580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260/日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人民币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color w:val="222222"/>
          <w:sz w:val="22"/>
        </w:rPr>
        <w:t>归档版本中，上海住宿上限为每晚 760 元，境内餐费为每日 260 元。与当前版本相比，上海普通住宿上限后来增加了 140 元，餐费增加了 40 元。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审计边界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审计人员必须按费用发生日期选择政策版本，不得因为归档文件搜索排名更高就用于当前行程。版本号相似并不代表规则可互换，尤其要区分“超过 8 小时可申请商务舱”和当前版本“超过 10 小时且需业务副总裁批准”。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B7280"/>
        <w:sz w:val="18"/>
      </w:rPr>
      <w:t xml:space="preserve">Real-world-v1 | Page </w:t>
    </w:r>
    <w:r>
      <w:rPr>
        <w:rFonts w:ascii="Microsoft YaHei" w:hAnsi="Microsoft YaHei" w:eastAsia="Microsoft YaHei"/>
        <w:b w:val="0"/>
        <w:color w:val="6B728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B7280"/>
        <w:sz w:val="18"/>
      </w:rPr>
      <w:t>Helios Mobility | ARCHIVED Travel Policy v2.8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