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0B2545"/>
          <w:sz w:val="50"/>
        </w:rPr>
        <w:t>Helios 员工差旅政策</w:t>
      </w:r>
    </w:p>
    <w:p>
      <w:pPr>
        <w:pStyle w:val="Subtitle"/>
      </w:pPr>
      <w:r>
        <w:rPr>
          <w:rFonts w:ascii="Microsoft YaHei" w:hAnsi="Microsoft YaHei" w:eastAsia="Microsoft YaHei"/>
          <w:b w:val="0"/>
          <w:color w:val="4B5563"/>
          <w:sz w:val="24"/>
        </w:rPr>
        <w:t>版本 3.2（当前有效版）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374151"/>
          <w:sz w:val="21"/>
        </w:rPr>
        <w:t>生效日期：</w:t>
      </w:r>
      <w:r>
        <w:rPr>
          <w:rFonts w:ascii="Microsoft YaHei" w:hAnsi="Microsoft YaHei" w:eastAsia="Microsoft YaHei"/>
          <w:b w:val="0"/>
          <w:color w:val="374151"/>
          <w:sz w:val="21"/>
        </w:rPr>
        <w:t>2026-06-01</w:t>
      </w:r>
    </w:p>
    <w:p>
      <w:pPr>
        <w:spacing w:after="40"/>
      </w:pPr>
      <w:r>
        <w:rPr>
          <w:rFonts w:ascii="Microsoft YaHei" w:hAnsi="Microsoft YaHei" w:eastAsia="Microsoft YaHei"/>
          <w:b/>
          <w:color w:val="374151"/>
          <w:sz w:val="21"/>
        </w:rPr>
        <w:t>替代版本：</w:t>
      </w:r>
      <w:r>
        <w:rPr>
          <w:rFonts w:ascii="Microsoft YaHei" w:hAnsi="Microsoft YaHei" w:eastAsia="Microsoft YaHei"/>
          <w:b w:val="0"/>
          <w:color w:val="374151"/>
          <w:sz w:val="21"/>
        </w:rPr>
        <w:t>v2.8 及此前版本</w:t>
      </w:r>
    </w:p>
    <w:p>
      <w:pPr>
        <w:spacing w:after="40"/>
      </w:pPr>
      <w:r>
        <w:rPr>
          <w:rFonts w:ascii="Microsoft YaHei" w:hAnsi="Microsoft YaHei" w:eastAsia="Microsoft YaHei"/>
          <w:b/>
          <w:color w:val="374151"/>
          <w:sz w:val="21"/>
        </w:rPr>
        <w:t>政策负责人：</w:t>
      </w:r>
      <w:r>
        <w:rPr>
          <w:rFonts w:ascii="Microsoft YaHei" w:hAnsi="Microsoft YaHei" w:eastAsia="Microsoft YaHei"/>
          <w:b w:val="0"/>
          <w:color w:val="374151"/>
          <w:sz w:val="21"/>
        </w:rPr>
        <w:t>财务运营与人员体验部</w:t>
      </w:r>
    </w:p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1. 适用范围与版本优先级</w:t>
      </w:r>
    </w:p>
    <w:p>
      <w:r>
        <w:rPr>
          <w:rFonts w:ascii="Microsoft YaHei" w:hAnsi="Microsoft YaHei" w:eastAsia="Microsoft YaHei"/>
          <w:b w:val="0"/>
          <w:color w:val="222222"/>
          <w:sz w:val="22"/>
        </w:rPr>
        <w:t>本政策适用于 Helios 中国区员工因公司业务产生的境内及国际差旅。版本 3.2 自 2026 年 6 月 1 日生效，并明确替代版本 2.8；归档政策只能用于历史报销审计，不能用于新的预订或审批。员工看到不同版本的金额或舱等规则时，必须以本文件标注的当前有效版为准。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2. 交通舱等与提前预订</w:t>
      </w:r>
    </w:p>
    <w:p>
      <w:r>
        <w:rPr>
          <w:rFonts w:ascii="Microsoft YaHei" w:hAnsi="Microsoft YaHei" w:eastAsia="Microsoft YaHei"/>
          <w:b w:val="0"/>
          <w:color w:val="222222"/>
          <w:sz w:val="22"/>
        </w:rPr>
        <w:t>单程计划飞行时间不足 6 小时应预订经济舱；6 小时至 10 小时可预订高级经济舱；超过 10 小时仅在业务副总裁书面批准后可预订商务舱。所有机票原则上应在出发前至少 14 个自然日完成预订，临时客户事件可以缩短窗口，但必须在报销单中填写原因。</w:t>
      </w:r>
    </w:p>
    <w:p>
      <w:r>
        <w:rPr>
          <w:rFonts w:ascii="Microsoft YaHei" w:hAnsi="Microsoft YaHei" w:eastAsia="Microsoft YaHei"/>
          <w:b w:val="0"/>
          <w:color w:val="222222"/>
          <w:sz w:val="22"/>
        </w:rPr>
        <w:t>铁路出行以二等座为默认标准。项目负责人不能把“行程紧急”直接等同于商务舱授权；时间窗口例外与舱等例外是两个独立审批事项，分别留下证据。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3. 住宿与会议例外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2160"/>
        <w:gridCol w:w="2880"/>
        <w:gridCol w:w="2160"/>
      </w:tblGrid>
      <w:tr>
        <w:trPr>
          <w:tblHeader w:val="true"/>
        </w:trP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城市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普通每晚上限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指定会议例外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币种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上海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900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最高上浮 20%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人民币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北京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850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最高上浮 20%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人民币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深圳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800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最高上浮 20%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人民币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其他境内城市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650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最高上浮 15%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人民币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color w:val="222222"/>
          <w:sz w:val="22"/>
        </w:rPr>
        <w:t>上海普通住宿上限为每晚 900 元。参加公司指定会议且会场酒店为唯一合理选择时，上限最多上浮 20%，因此上海的会议例外上限为每晚 1,080 元；例外不自动覆盖迷你吧、升级房型或陪同人员费用。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4. 餐费、杂费与审批</w:t>
      </w:r>
    </w:p>
    <w:p>
      <w:r>
        <w:rPr>
          <w:rFonts w:ascii="Microsoft YaHei" w:hAnsi="Microsoft YaHei" w:eastAsia="Microsoft YaHei"/>
          <w:b w:val="0"/>
          <w:color w:val="222222"/>
          <w:sz w:val="22"/>
        </w:rPr>
        <w:t>境内差旅餐费按每日 300 元封顶，必要杂费按每日 80 元封顶。单次行程预计总额不超过 8,000 元由直属经理批准；8,001 至 25,000 元需要部门负责人批准；超过 25,000 元还需要财务业务伙伴复核。餐费与杂费是不同额度，不能相互挪用。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5. 干扰信息与审计说明</w:t>
      </w:r>
    </w:p>
    <w:p>
      <w:r>
        <w:rPr>
          <w:rFonts w:ascii="Microsoft YaHei" w:hAnsi="Microsoft YaHei" w:eastAsia="Microsoft YaHei"/>
          <w:b w:val="0"/>
          <w:color w:val="222222"/>
          <w:sz w:val="22"/>
        </w:rPr>
        <w:t>2025 年试行的“绿色出行积分”曾允许用积分抵扣酒店超额，但该试行已在 2026 年 3 月结束，不属于版本 3.2 的报销依据。差旅帮助台可能在邮件中引用旧示例，审批人仍需回到当前政策核对日期、金额与权限。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B7280"/>
        <w:sz w:val="18"/>
      </w:rPr>
      <w:t xml:space="preserve">Real-world-v1 | Page </w:t>
    </w:r>
    <w:r>
      <w:rPr>
        <w:rFonts w:ascii="Microsoft YaHei" w:hAnsi="Microsoft YaHei" w:eastAsia="Microsoft YaHei"/>
        <w:b w:val="0"/>
        <w:color w:val="6B728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6B7280"/>
        <w:sz w:val="18"/>
      </w:rPr>
      <w:t>Helios Mobility | Travel Policy v3.2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