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3" w:name="Xb8e871d2e4f0dcc0b07975208ee03bb0e1d2f8a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Final Strategic Report: Regulatory-Compliant Smart Lab Integration</w:t>
      </w:r>
    </w:p>
    <w:bookmarkStart w:id="9" w:name="sprint-03---stanford-research-system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Sprint 03 - Stanford Research Systems</w:t>
      </w:r>
    </w:p>
    <w:p>
      <w:pPr>
        <w:pStyle w:val="FirstParagraph"/>
      </w:pPr>
      <w:r>
        <w:rPr>
          <w:b/>
          <w:bCs/>
        </w:rPr>
        <w:t xml:space="preserve">Client</w:t>
      </w:r>
      <w:r>
        <w:t xml:space="preserve">: Stanford Research Systems (SRS)</w:t>
      </w:r>
      <w:r>
        <w:t xml:space="preserve"> </w:t>
      </w:r>
      <w:r>
        <w:rPr>
          <w:b/>
          <w:bCs/>
        </w:rPr>
        <w:t xml:space="preserve">Date</w:t>
      </w:r>
      <w:r>
        <w:t xml:space="preserve">: 2025-11-16</w:t>
      </w:r>
      <w:r>
        <w:t xml:space="preserve"> </w:t>
      </w:r>
      <w:r>
        <w:rPr>
          <w:b/>
          <w:bCs/>
        </w:rPr>
        <w:t xml:space="preserve">Prepared by</w:t>
      </w:r>
      <w:r>
        <w:t xml:space="preserve">: Hupyy AI Research (Report Synthesizer)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: Strategic Decision Document</w:t>
      </w:r>
      <w:r>
        <w:t xml:space="preserve"> </w:t>
      </w:r>
      <w:r>
        <w:rPr>
          <w:b/>
          <w:bCs/>
        </w:rPr>
        <w:t xml:space="preserve">Research Foundation</w:t>
      </w:r>
      <w:r>
        <w:t xml:space="preserve">: 28 research files, 117,679 words across 5 parallel research tasks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##Table of Contents</w:t>
      </w:r>
    </w:p>
    <w:p>
      <w:pPr>
        <w:pStyle w:val="Compact"/>
        <w:numPr>
          <w:ilvl w:val="0"/>
          <w:numId w:val="1001"/>
        </w:numPr>
      </w:pPr>
      <w:hyperlink w:anchor="document-metadata">
        <w:r>
          <w:rPr>
            <w:rStyle w:val="Hyperlink"/>
          </w:rPr>
          <w:t xml:space="preserve">Document Metadata</w:t>
        </w:r>
      </w:hyperlink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market-opportunity-analysis">
        <w:r>
          <w:rPr>
            <w:rStyle w:val="Hyperlink"/>
          </w:rPr>
          <w:t xml:space="preserve">Market Opportunity Analysis</w:t>
        </w:r>
      </w:hyperlink>
    </w:p>
    <w:p>
      <w:pPr>
        <w:pStyle w:val="Compact"/>
        <w:numPr>
          <w:ilvl w:val="0"/>
          <w:numId w:val="1001"/>
        </w:numPr>
      </w:pPr>
      <w:hyperlink w:anchor="technical-feasibility-assessment">
        <w:r>
          <w:rPr>
            <w:rStyle w:val="Hyperlink"/>
          </w:rPr>
          <w:t xml:space="preserve">Technical Feasibility Assessment</w:t>
        </w:r>
      </w:hyperlink>
    </w:p>
    <w:p>
      <w:pPr>
        <w:pStyle w:val="Compact"/>
        <w:numPr>
          <w:ilvl w:val="0"/>
          <w:numId w:val="1001"/>
        </w:numPr>
      </w:pPr>
      <w:hyperlink w:anchor="competitive-positioning">
        <w:r>
          <w:rPr>
            <w:rStyle w:val="Hyperlink"/>
          </w:rPr>
          <w:t xml:space="preserve">Competitive Positioning</w:t>
        </w:r>
      </w:hyperlink>
    </w:p>
    <w:p>
      <w:pPr>
        <w:pStyle w:val="Compact"/>
        <w:numPr>
          <w:ilvl w:val="0"/>
          <w:numId w:val="1001"/>
        </w:numPr>
      </w:pPr>
      <w:hyperlink w:anchor="regulatory--compliance-pathway">
        <w:r>
          <w:rPr>
            <w:rStyle w:val="Hyperlink"/>
          </w:rPr>
          <w:t xml:space="preserve">Regulatory &amp; Compliance Pathway</w:t>
        </w:r>
      </w:hyperlink>
    </w:p>
    <w:p>
      <w:pPr>
        <w:pStyle w:val="Compact"/>
        <w:numPr>
          <w:ilvl w:val="0"/>
          <w:numId w:val="1001"/>
        </w:numPr>
      </w:pPr>
      <w:hyperlink w:anchor="solution-architecture">
        <w:r>
          <w:rPr>
            <w:rStyle w:val="Hyperlink"/>
          </w:rPr>
          <w:t xml:space="preserve">Solution Architecture</w:t>
        </w:r>
      </w:hyperlink>
    </w:p>
    <w:p>
      <w:pPr>
        <w:pStyle w:val="Compact"/>
        <w:numPr>
          <w:ilvl w:val="0"/>
          <w:numId w:val="1001"/>
        </w:numPr>
      </w:pPr>
      <w:hyperlink w:anchor="implementation-roadmap">
        <w:r>
          <w:rPr>
            <w:rStyle w:val="Hyperlink"/>
          </w:rPr>
          <w:t xml:space="preserve">Implementation Roadmap</w:t>
        </w:r>
      </w:hyperlink>
    </w:p>
    <w:p>
      <w:pPr>
        <w:pStyle w:val="Compact"/>
        <w:numPr>
          <w:ilvl w:val="0"/>
          <w:numId w:val="1001"/>
        </w:numPr>
      </w:pPr>
      <w:hyperlink w:anchor="opportunity-scoring--recommendation">
        <w:r>
          <w:rPr>
            <w:rStyle w:val="Hyperlink"/>
          </w:rPr>
          <w:t xml:space="preserve">Opportunity Scoring &amp; Recommendation</w:t>
        </w:r>
      </w:hyperlink>
    </w:p>
    <w:p>
      <w:pPr>
        <w:pStyle w:val="Compact"/>
        <w:numPr>
          <w:ilvl w:val="0"/>
          <w:numId w:val="1001"/>
        </w:numPr>
      </w:pPr>
      <w:hyperlink w:anchor="appendices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document-metadata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Document Metadata</w:t>
      </w:r>
    </w:p>
    <w:p>
      <w:pPr>
        <w:pStyle w:val="FirstParagraph"/>
      </w:pPr>
      <w:r>
        <w:rPr>
          <w:b/>
          <w:bCs/>
        </w:rPr>
        <w:t xml:space="preserve">Sprint Information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Sprint Number</w:t>
      </w:r>
      <w:r>
        <w:t xml:space="preserve">: 03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Sprint Name</w:t>
      </w:r>
      <w:r>
        <w:t xml:space="preserve">: Regulatory-Compliant Smart Lab Integration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 Duration</w:t>
      </w:r>
      <w:r>
        <w:t xml:space="preserve">: 2025-11-16 (comprehensive parallel research)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 Scope</w:t>
      </w:r>
      <w:r>
        <w:t xml:space="preserve">: Technical standards, market sizing, competitive analysis, system architecture, regulatory pathways, implementation planning</w:t>
      </w:r>
    </w:p>
    <w:p>
      <w:pPr>
        <w:pStyle w:val="FirstParagraph"/>
      </w:pPr>
      <w:r>
        <w:rPr>
          <w:b/>
          <w:bCs/>
        </w:rPr>
        <w:t xml:space="preserve">Research Methodology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Research Files</w:t>
      </w:r>
      <w:r>
        <w:t xml:space="preserve">: 28 files across 5 tasks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Word Count</w:t>
      </w:r>
      <w:r>
        <w:t xml:space="preserve">: 117,679 words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Research Tasks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Task 01 (Technical): 6 files, 22,541 words - Regulatory frameworks, standards, self-driving labs</w:t>
      </w:r>
    </w:p>
    <w:p>
      <w:pPr>
        <w:pStyle w:val="Compact"/>
        <w:numPr>
          <w:ilvl w:val="1"/>
          <w:numId w:val="1004"/>
        </w:numPr>
      </w:pPr>
      <w:r>
        <w:t xml:space="preserve">Task 02 (Market): 5 files, 24,460 words - Market sizing, competitive landscape, customer segments</w:t>
      </w:r>
    </w:p>
    <w:p>
      <w:pPr>
        <w:pStyle w:val="Compact"/>
        <w:numPr>
          <w:ilvl w:val="1"/>
          <w:numId w:val="1004"/>
        </w:numPr>
      </w:pPr>
      <w:r>
        <w:t xml:space="preserve">Task 03 (Architecture): 6 files, 20,526 words, 30 Mermaid diagrams - System design, technology stack</w:t>
      </w:r>
    </w:p>
    <w:p>
      <w:pPr>
        <w:pStyle w:val="Compact"/>
        <w:numPr>
          <w:ilvl w:val="1"/>
          <w:numId w:val="1004"/>
        </w:numPr>
      </w:pPr>
      <w:r>
        <w:t xml:space="preserve">Task 04 (Compliance): 5 files, 25,035 words - EU AI Act, FDA pathways, ISO 15189, testing strategy</w:t>
      </w:r>
    </w:p>
    <w:p>
      <w:pPr>
        <w:pStyle w:val="Compact"/>
        <w:numPr>
          <w:ilvl w:val="1"/>
          <w:numId w:val="1004"/>
        </w:numPr>
      </w:pPr>
      <w:r>
        <w:t xml:space="preserve">Task 05 (Roadmap): 6 files, 25,117 words - Implementation plan, resources, risks, partnerships</w:t>
      </w:r>
    </w:p>
    <w:p>
      <w:pPr>
        <w:pStyle w:val="FirstParagraph"/>
      </w:pPr>
      <w:r>
        <w:rPr>
          <w:b/>
          <w:bCs/>
        </w:rPr>
        <w:t xml:space="preserve">Key Data Sources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Industry reports: Fortune Business Insights, Grand View Research, Precedence Research, Mordor Intelligence</w:t>
      </w:r>
    </w:p>
    <w:p>
      <w:pPr>
        <w:pStyle w:val="Compact"/>
        <w:numPr>
          <w:ilvl w:val="0"/>
          <w:numId w:val="1005"/>
        </w:numPr>
      </w:pPr>
      <w:r>
        <w:t xml:space="preserve">Regulatory documents: EU AI Act (Regulation 2024/1689), FDA AI/ML guidance, ISO 13485/15189</w:t>
      </w:r>
    </w:p>
    <w:p>
      <w:pPr>
        <w:pStyle w:val="Compact"/>
        <w:numPr>
          <w:ilvl w:val="0"/>
          <w:numId w:val="1005"/>
        </w:numPr>
      </w:pPr>
      <w:r>
        <w:t xml:space="preserve">Academic research: Nature, Science, Chemical Reviews, Nature Synthesis</w:t>
      </w:r>
    </w:p>
    <w:p>
      <w:pPr>
        <w:pStyle w:val="Compact"/>
        <w:numPr>
          <w:ilvl w:val="0"/>
          <w:numId w:val="1005"/>
        </w:numPr>
      </w:pPr>
      <w:r>
        <w:t xml:space="preserve">Market intelligence: PITTCON, ASMS, Lab Automation conference proceedings</w:t>
      </w:r>
    </w:p>
    <w:p>
      <w:pPr>
        <w:pStyle w:val="Compact"/>
        <w:numPr>
          <w:ilvl w:val="0"/>
          <w:numId w:val="1005"/>
        </w:numPr>
      </w:pPr>
      <w:r>
        <w:t xml:space="preserve">Competitive analysis: Agilent, Thermo Fisher, Keysight, PerkinElmer product portfolios</w:t>
      </w:r>
    </w:p>
    <w:p>
      <w:r>
        <w:pict>
          <v:rect style="width:0;height:1.5pt" o:hralign="center" o:hrstd="t" o:hr="t"/>
        </w:pict>
      </w:r>
    </w:p>
    <w:bookmarkEnd w:id="10"/>
    <w:bookmarkStart w:id="14" w:name="executive-summary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Executive Summary</w:t>
      </w:r>
    </w:p>
    <w:bookmarkStart w:id="11" w:name="opportunity-overview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Opportunity Overview</w:t>
      </w:r>
    </w:p>
    <w:p>
      <w:pPr>
        <w:pStyle w:val="FirstParagraph"/>
      </w:pPr>
      <w:r>
        <w:t xml:space="preserve">Stanford Research Systems (SRS), in partnership with Hupyy AI, has the opportunity to create and dominate an entirely new product category:</w:t>
      </w:r>
      <w:r>
        <w:t xml:space="preserve"> </w:t>
      </w:r>
      <w:r>
        <w:rPr>
          <w:b/>
          <w:bCs/>
        </w:rPr>
        <w:t xml:space="preserve">formally verified AI for scientific instrumentation</w:t>
      </w:r>
      <w:r>
        <w:t xml:space="preserve">—the world’s first and only laboratory instruments that mathematically prove freedom from AI hallucinations and autonomous decision correctness.</w:t>
      </w:r>
    </w:p>
    <w:p>
      <w:pPr>
        <w:pStyle w:val="BodyText"/>
      </w:pPr>
      <w:r>
        <w:t xml:space="preserve">This is not incremental improvement but</w:t>
      </w:r>
      <w:r>
        <w:t xml:space="preserve"> </w:t>
      </w:r>
      <w:r>
        <w:rPr>
          <w:b/>
          <w:bCs/>
        </w:rPr>
        <w:t xml:space="preserve">transformational category creation</w:t>
      </w:r>
      <w:r>
        <w:t xml:space="preserve">. SRS would be the sole vendor capable of enabling truly autonomous laboratory operations (pharmaceutical QC batch release testing 24/7 without human oversight, self-driving labs running materials discovery autonomously for months), slashing regulatory validation costs by 60-80% ($150K-$400K → $30K-$80K per instrument), and eliminating AI hallucination risks that currently waste $50K-$200K annually in self-driving labs and create patient safety hazards in clinical testing.</w:t>
      </w:r>
    </w:p>
    <w:p>
      <w:pPr>
        <w:pStyle w:val="BodyText"/>
      </w:pPr>
      <w:r>
        <w:t xml:space="preserve">The market opportunity is substantial:</w:t>
      </w:r>
      <w:r>
        <w:t xml:space="preserve"> </w:t>
      </w:r>
      <w:r>
        <w:rPr>
          <w:b/>
          <w:bCs/>
        </w:rPr>
        <w:t xml:space="preserve">$63M serviceable obtainable market (SOM) by 2034</w:t>
      </w:r>
      <w:r>
        <w:t xml:space="preserve"> </w:t>
      </w:r>
      <w:r>
        <w:t xml:space="preserve">growing at 16.7% CAGR, concentrated in high-value pharmaceutical R&amp;D (45% of SOM, willing to pay 40-50% premium pricing) and emerging self-driving labs (10% of SOM, fastest growth segment). The total addressable market (TAM) reaches $1.18B by 2034, representing 8% of the broader $14.78B laboratory automation market.</w:t>
      </w:r>
    </w:p>
    <w:p>
      <w:pPr>
        <w:pStyle w:val="BodyText"/>
      </w:pPr>
      <w:r>
        <w:t xml:space="preserve">Market timing is optimal—a</w:t>
      </w:r>
      <w:r>
        <w:t xml:space="preserve"> </w:t>
      </w:r>
      <w:r>
        <w:t xml:space="preserve">“perfect storm”</w:t>
      </w:r>
      <w:r>
        <w:t xml:space="preserve"> </w:t>
      </w:r>
      <w:r>
        <w:t xml:space="preserve">of three independent forces creating urgent customer demand: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Regulatory Catalyst</w:t>
      </w:r>
      <w:r>
        <w:t xml:space="preserve">: EU AI Act (enforced August 2026) mandates conformity assessment for high-risk AI systems in medical devices and pharmaceutical testing, creating hard 18-month compliance deadline. FDA AI/ML guidance (final 2025-2026) establishes parallel U.S. framework.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Technology Readiness</w:t>
      </w:r>
      <w:r>
        <w:t xml:space="preserve">: Formal verification techniques, after 20+ years of academic research in aerospace/automotive safety-critical systems, have matured to production-ready commercial viability. Hupyy brings this technology to laboratory instruments at precisely the moment regulatory demand materializes.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Market Pull</w:t>
      </w:r>
      <w:r>
        <w:t xml:space="preserve">: Self-driving labs transitioning from academic proof-of-concept to commercial deployment ($1.32B → $3.11B market by 2033, 10% CAGR); pharmaceutical R&amp;D under intense pressure to reduce development timelines (patent cliffs, biosimilar competition); clinical labs facing severe labor shortages (10,000-15,000 unfilled positions in U.S.) driving automation urgency.</w:t>
      </w:r>
    </w:p>
    <w:p>
      <w:pPr>
        <w:pStyle w:val="FirstParagraph"/>
      </w:pPr>
      <w:r>
        <w:t xml:space="preserve">The competitive landscape is exceptionally favorable. Current market leaders (Agilent Technologies, Thermo Fisher Scientific, Keysight Technologies, PerkinElmer) lack formal verification capabilities. Our analysis indicates 2-4 years required for incumbents to develop or acquire equivalent technology, creating a</w:t>
      </w:r>
      <w:r>
        <w:t xml:space="preserve"> </w:t>
      </w:r>
      <w:r>
        <w:rPr>
          <w:b/>
          <w:bCs/>
        </w:rPr>
        <w:t xml:space="preserve">5-7 year competitive moat</w:t>
      </w:r>
      <w:r>
        <w:t xml:space="preserve"> </w:t>
      </w:r>
      <w:r>
        <w:t xml:space="preserve">for SRS. However, the competitive window is narrow—if SRS delays market entry to 2027-2028, incumbents will have responded via M&amp;A (40% probability Agilent/Thermo Fisher acquires AI verification startup) or internal development, eroding first-mover advantage.</w:t>
      </w:r>
    </w:p>
    <w:bookmarkEnd w:id="11"/>
    <w:bookmarkStart w:id="12" w:name="key-finding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Key Findings</w:t>
      </w:r>
    </w:p>
    <w:p>
      <w:pPr>
        <w:pStyle w:val="FirstParagraph"/>
      </w:pPr>
      <w:r>
        <w:rPr>
          <w:b/>
          <w:bCs/>
        </w:rPr>
        <w:t xml:space="preserve">Market Opportunity</w:t>
      </w:r>
      <w:r>
        <w:t xml:space="preserve"> </w:t>
      </w:r>
      <w:r>
        <w:t xml:space="preserve">(93.3/100 score - Exceptional):</w:t>
      </w:r>
      <w:r>
        <w:t xml:space="preserve"> </w:t>
      </w:r>
      <w:r>
        <w:t xml:space="preserve">- TAM: $1.18B (2034), SAM: $177M, SOM: $63M at 16.7% CAGR</w:t>
      </w:r>
      <w:r>
        <w:t xml:space="preserve"> </w:t>
      </w:r>
      <w:r>
        <w:t xml:space="preserve">- Customer pain severe and quantified: $150K-$400K validation costs (pharma), $50K-$200K materials waste (self-driving labs), $5K-$20K/hour downtime (clinical labs)</w:t>
      </w:r>
      <w:r>
        <w:t xml:space="preserve"> </w:t>
      </w:r>
      <w:r>
        <w:t xml:space="preserve">- Premium pricing sustainable: 30-50% above baseline smart instruments, justified by $200K-$500K customer value per installation</w:t>
      </w:r>
      <w:r>
        <w:t xml:space="preserve"> </w:t>
      </w:r>
      <w:r>
        <w:t xml:space="preserve">- Geographic concentration: North America 50% of revenue, Europe 30%, Asia-Pacific 20%</w:t>
      </w:r>
      <w:r>
        <w:t xml:space="preserve"> </w:t>
      </w:r>
      <w:r>
        <w:t xml:space="preserve">- Customer segments: Pharmaceutical R&amp;D (45% of SOM), clinical labs (25%), biotech (20%), materials science/SDL (10%)</w:t>
      </w:r>
    </w:p>
    <w:p>
      <w:pPr>
        <w:pStyle w:val="BodyText"/>
      </w:pPr>
      <w:r>
        <w:rPr>
          <w:b/>
          <w:bCs/>
        </w:rPr>
        <w:t xml:space="preserve">Technical Feasibility</w:t>
      </w:r>
      <w:r>
        <w:t xml:space="preserve"> </w:t>
      </w:r>
      <w:r>
        <w:t xml:space="preserve">(80.0/100 score - Strong):</w:t>
      </w:r>
      <w:r>
        <w:t xml:space="preserve"> </w:t>
      </w:r>
      <w:r>
        <w:t xml:space="preserve">- Core technology (Hupyy formal verification) at TRL 7-8, production-ready for deployment</w:t>
      </w:r>
      <w:r>
        <w:t xml:space="preserve"> </w:t>
      </w:r>
      <w:r>
        <w:t xml:space="preserve">- Integration challenges manageable: LIMS/ELN plugins (6-12 months per platform), self-driving lab APIs (SiLA protocol support)</w:t>
      </w:r>
      <w:r>
        <w:t xml:space="preserve"> </w:t>
      </w:r>
      <w:r>
        <w:t xml:space="preserve">- Architecture validated: Firmware-embedded verification (real-time, 1-10ms latency) vs. competitors’ software-layer approach (batch processing, 50-200ms latency)</w:t>
      </w:r>
      <w:r>
        <w:t xml:space="preserve"> </w:t>
      </w:r>
      <w:r>
        <w:t xml:space="preserve">- Team capability gaps addressable: Hire 2-3 formal verification PhDs, 3-5 AI/ML engineers, 5-8 software integration engineers (17-27 FTEs total by 2027, $3.5M-$6.5M annual payroll)</w:t>
      </w:r>
      <w:r>
        <w:t xml:space="preserve"> </w:t>
      </w:r>
      <w:r>
        <w:t xml:space="preserve">- Technology risks moderate: Scaling formal verification across diverse instruments (lock-in amplifiers proven, mass spec/chromatography unproven), LIMS integration complexity, real-time performance validation</w:t>
      </w:r>
    </w:p>
    <w:p>
      <w:pPr>
        <w:pStyle w:val="BodyText"/>
      </w:pPr>
      <w:r>
        <w:rPr>
          <w:b/>
          <w:bCs/>
        </w:rPr>
        <w:t xml:space="preserve">Competitive Advantage</w:t>
      </w:r>
      <w:r>
        <w:t xml:space="preserve"> </w:t>
      </w:r>
      <w:r>
        <w:t xml:space="preserve">(90.0/100 score - Exceptional):</w:t>
      </w:r>
      <w:r>
        <w:t xml:space="preserve"> </w:t>
      </w:r>
      <w:r>
        <w:t xml:space="preserve">- Category-defining differentiation: Only formally verified AI provider creates uncontested</w:t>
      </w:r>
      <w:r>
        <w:t xml:space="preserve"> </w:t>
      </w:r>
      <w:r>
        <w:t xml:space="preserve">“Blue Ocean”</w:t>
      </w:r>
      <w:r>
        <w:t xml:space="preserve"> </w:t>
      </w:r>
      <w:r>
        <w:t xml:space="preserve">market space</w:t>
      </w:r>
      <w:r>
        <w:t xml:space="preserve"> </w:t>
      </w:r>
      <w:r>
        <w:t xml:space="preserve">- Defensible moat (5-7 years): IP portfolio (10-15 patents target), regulatory first-mover (first FDA 510(k), first EU AI Act conformity), integration depth (firmware-embedded, not bolt-on software), category ownership (define IEEE/ASTM standards)</w:t>
      </w:r>
      <w:r>
        <w:t xml:space="preserve"> </w:t>
      </w:r>
      <w:r>
        <w:t xml:space="preserve">- Competitive gap analysis: Agilent offers unverified AI (predictive maintenance), Thermo Fisher has IoT connectivity only, Keysight PathWave AI lacks verification, PerkinElmer Signals is informatics-layer only</w:t>
      </w:r>
      <w:r>
        <w:t xml:space="preserve"> </w:t>
      </w:r>
      <w:r>
        <w:t xml:space="preserve">- Moat erosion scenarios: Competitor M&amp;A (40% probability by 2027-2028), EU AI Act easier than anticipated (25% probability, lowers barrier to entry), Hupyy licenses to competitors (15% probability, eliminates uniqueness)</w:t>
      </w:r>
    </w:p>
    <w:p>
      <w:pPr>
        <w:pStyle w:val="BodyText"/>
      </w:pPr>
      <w:r>
        <w:rPr>
          <w:b/>
          <w:bCs/>
        </w:rPr>
        <w:t xml:space="preserve">Regulatory Pathway</w:t>
      </w:r>
      <w:r>
        <w:t xml:space="preserve"> </w:t>
      </w:r>
      <w:r>
        <w:t xml:space="preserve">(85.0/100 score - Strong):</w:t>
      </w:r>
      <w:r>
        <w:t xml:space="preserve"> </w:t>
      </w:r>
      <w:r>
        <w:t xml:space="preserve">- EU AI Act pathway clear: 18-24 months conformity assessment, $300K-$500K investment, high-risk AI classification for medical devices and pharma GMP testing</w:t>
      </w:r>
      <w:r>
        <w:t xml:space="preserve"> </w:t>
      </w:r>
      <w:r>
        <w:t xml:space="preserve">- FDA AI/ML pathway defined: 510(k) clearance (6-12 months standard, 9-15 months for novel verification), $200K-$400K investment, GMLP framework aligns with formal verification</w:t>
      </w:r>
      <w:r>
        <w:t xml:space="preserve"> </w:t>
      </w:r>
      <w:r>
        <w:t xml:space="preserve">- Regulatory precedents favorable: 500+ FDA clearances for AI/ML medical devices (category accepted), but SRS would be first formally verified AI lab instrument (precedent-setting advantage)</w:t>
      </w:r>
      <w:r>
        <w:t xml:space="preserve"> </w:t>
      </w:r>
      <w:r>
        <w:t xml:space="preserve">- Certification timeline: 18-24 months critical path (EU AI Act longest), concurrent FDA 510(k) and ISO certifications (13485, 27001, SOC 2)</w:t>
      </w:r>
      <w:r>
        <w:t xml:space="preserve"> </w:t>
      </w:r>
      <w:r>
        <w:t xml:space="preserve">- First-mover advantage: SRS establishes</w:t>
      </w:r>
      <w:r>
        <w:t xml:space="preserve"> </w:t>
      </w:r>
      <w:r>
        <w:t xml:space="preserve">“reference implementation”</w:t>
      </w:r>
      <w:r>
        <w:t xml:space="preserve"> </w:t>
      </w:r>
      <w:r>
        <w:t xml:space="preserve">for EU AI Act conformity and FDA AI/ML submissions, competitors must meet or exceed SRS standard</w:t>
      </w:r>
    </w:p>
    <w:p>
      <w:pPr>
        <w:pStyle w:val="BodyText"/>
      </w:pPr>
      <w:r>
        <w:rPr>
          <w:b/>
          <w:bCs/>
        </w:rPr>
        <w:t xml:space="preserve">Execution Readiness</w:t>
      </w:r>
      <w:r>
        <w:t xml:space="preserve"> </w:t>
      </w:r>
      <w:r>
        <w:t xml:space="preserve">(75.0/100 score - Moderate-Strong):</w:t>
      </w:r>
      <w:r>
        <w:t xml:space="preserve"> </w:t>
      </w:r>
      <w:r>
        <w:t xml:space="preserve">- Timeline aggressive but achievable: 36 months product development → regulatory approval → commercial scale</w:t>
      </w:r>
      <w:r>
        <w:t xml:space="preserve"> </w:t>
      </w:r>
      <w:r>
        <w:t xml:space="preserve">- Investment substantial but fundable: $8.6M-$13.5M total (midpoint: $11M) over 2025-2027</w:t>
      </w:r>
      <w:r>
        <w:t xml:space="preserve"> </w:t>
      </w:r>
      <w:r>
        <w:t xml:space="preserve">- Funding strategy: Venture capital/growth equity Series A/B ($10M-$20M) from healthcare VCs (OrbiMed, Deerfield), deep tech VCs (Eclipse, Playground Global), or self-funded via SRS internal allocation</w:t>
      </w:r>
      <w:r>
        <w:t xml:space="preserve"> </w:t>
      </w:r>
      <w:r>
        <w:t xml:space="preserve">- Partnerships: Hupyy AI (critical, established), LIMS vendors (important, medium readiness), SDL platforms (growth, medium readiness), system integrators (channel, low readiness), regulatory consultants (operational, high readiness)</w:t>
      </w:r>
      <w:r>
        <w:t xml:space="preserve"> </w:t>
      </w:r>
      <w:r>
        <w:t xml:space="preserve">- Execution risks: Regulatory delays (40% probability, EU notified body capacity constraints), technical development delays (30% probability, LIMS integration complexity), pilot customer delays (25% probability, pharma procurement cycles extend)</w:t>
      </w:r>
    </w:p>
    <w:bookmarkEnd w:id="12"/>
    <w:bookmarkStart w:id="13" w:name="recommendation-strong-go-score-85.3100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Recommendation: STRONG GO (Score: 85.3/100)</w:t>
      </w:r>
    </w:p>
    <w:p>
      <w:pPr>
        <w:pStyle w:val="FirstParagraph"/>
      </w:pPr>
      <w:r>
        <w:rPr>
          <w:b/>
          <w:bCs/>
        </w:rPr>
        <w:t xml:space="preserve">Verdict</w:t>
      </w:r>
      <w:r>
        <w:t xml:space="preserve">: Proceed immediately with aggressive commercialization targeting 2025-2027 market entry.</w:t>
      </w:r>
    </w:p>
    <w:p>
      <w:pPr>
        <w:pStyle w:val="BodyText"/>
      </w:pPr>
      <w:r>
        <w:rPr>
          <w:b/>
          <w:bCs/>
        </w:rPr>
        <w:t xml:space="preserve">Overall Opportunity Score</w:t>
      </w:r>
      <w:r>
        <w:t xml:space="preserve">:</w:t>
      </w:r>
      <w:r>
        <w:t xml:space="preserve"> </w:t>
      </w:r>
      <w:r>
        <w:rPr>
          <w:b/>
          <w:bCs/>
        </w:rPr>
        <w:t xml:space="preserve">85.3/100</w:t>
      </w:r>
      <w:r>
        <w:t xml:space="preserve"> </w:t>
      </w:r>
      <w:r>
        <w:t xml:space="preserve">(Strong GO threshold: 80-100)</w:t>
      </w:r>
    </w:p>
    <w:p>
      <w:pPr>
        <w:pStyle w:val="BodyText"/>
      </w:pPr>
      <w:r>
        <w:rPr>
          <w:b/>
          <w:bCs/>
        </w:rPr>
        <w:t xml:space="preserve">Scoring Summary</w:t>
      </w:r>
      <w:r>
        <w:t xml:space="preserve">:</w:t>
      </w:r>
      <w:r>
        <w:t xml:space="preserve"> </w:t>
      </w:r>
      <w:r>
        <w:t xml:space="preserve">| Category | Weight | Score | Weighted | Assessment |</w:t>
      </w:r>
      <w:r>
        <w:t xml:space="preserve"> </w:t>
      </w:r>
      <w:r>
        <w:t xml:space="preserve">|———-|——–|——-|———-|————|</w:t>
      </w:r>
      <w:r>
        <w:t xml:space="preserve"> </w:t>
      </w:r>
      <w:r>
        <w:t xml:space="preserve">| Market Opportunity | 25% | 93.3 | 23.3 | Exceptional |</w:t>
      </w:r>
      <w:r>
        <w:t xml:space="preserve"> </w:t>
      </w:r>
      <w:r>
        <w:t xml:space="preserve">| Technical Feasibility | 25% | 80.0 | 20.0 | Strong |</w:t>
      </w:r>
      <w:r>
        <w:t xml:space="preserve"> </w:t>
      </w:r>
      <w:r>
        <w:t xml:space="preserve">| Competitive Advantage | 20% | 90.0 | 18.0 | Exceptional |</w:t>
      </w:r>
      <w:r>
        <w:t xml:space="preserve"> </w:t>
      </w:r>
      <w:r>
        <w:t xml:space="preserve">| Execution Readiness | 15% | 75.0 | 11.25 | Moderate-Strong |</w:t>
      </w:r>
      <w:r>
        <w:t xml:space="preserve"> </w:t>
      </w:r>
      <w:r>
        <w:t xml:space="preserve">| Regulatory Pathway | 15% | 85.0 | 12.75 | Strong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—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85.3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Strong GO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Strategic Rationale</w:t>
      </w:r>
      <w:r>
        <w:t xml:space="preserve">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once-in-a-decade category creation opportunity</w:t>
      </w:r>
      <w:r>
        <w:t xml:space="preserve"> </w:t>
      </w:r>
      <w:r>
        <w:t xml:space="preserve">where regulatory catalysts (EU AI Act August 2026), technology readiness (Hupyy formal verification production-ready), severe customer pain ($150K-$400K validation costs, AI hallucination risks), and competitive gap (5-7 year moat) converge to create asymmetric upside potential with manageable execution risks. SRS must act aggressively in 2025-2027 to establish category leadership before the competitive window closes as incumbents respond via M&amp;A or internal development.</w:t>
      </w:r>
    </w:p>
    <w:p>
      <w:pPr>
        <w:pStyle w:val="BodyText"/>
      </w:pPr>
      <w:r>
        <w:rPr>
          <w:b/>
          <w:bCs/>
        </w:rPr>
        <w:t xml:space="preserve">Investment vs. Return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Investment: $11M over 36 months</w:t>
      </w:r>
    </w:p>
    <w:p>
      <w:pPr>
        <w:pStyle w:val="Compact"/>
        <w:numPr>
          <w:ilvl w:val="0"/>
          <w:numId w:val="1007"/>
        </w:numPr>
      </w:pPr>
      <w:r>
        <w:t xml:space="preserve">Revenue trajectory: $0M (2025) → $5M (2027) → $20M (2030) → $50M-$75M (2034)</w:t>
      </w:r>
    </w:p>
    <w:p>
      <w:pPr>
        <w:pStyle w:val="Compact"/>
        <w:numPr>
          <w:ilvl w:val="0"/>
          <w:numId w:val="1007"/>
        </w:numPr>
      </w:pPr>
      <w:r>
        <w:t xml:space="preserve">Capital efficiency: 1.8x (strong for hardware + software business)</w:t>
      </w:r>
    </w:p>
    <w:p>
      <w:pPr>
        <w:pStyle w:val="Compact"/>
        <w:numPr>
          <w:ilvl w:val="0"/>
          <w:numId w:val="1007"/>
        </w:numPr>
      </w:pPr>
      <w:r>
        <w:t xml:space="preserve">Exit valuation: $300M-$500M (5-8x revenue multiple) by 2030-2032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5" w:name="market-opportunity-analysi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Market Opportunity Analysis</w:t>
      </w:r>
    </w:p>
    <w:bookmarkStart w:id="15" w:name="market-sizing-methodology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Market Sizing Methodology</w:t>
      </w:r>
    </w:p>
    <w:p>
      <w:pPr>
        <w:pStyle w:val="FirstParagraph"/>
      </w:pPr>
      <w:r>
        <w:t xml:space="preserve">Our market sizing employs rigorous</w:t>
      </w:r>
      <w:r>
        <w:t xml:space="preserve"> </w:t>
      </w:r>
      <w:r>
        <w:rPr>
          <w:b/>
          <w:bCs/>
        </w:rPr>
        <w:t xml:space="preserve">bottom-up analysis</w:t>
      </w:r>
      <w:r>
        <w:t xml:space="preserve"> </w:t>
      </w:r>
      <w:r>
        <w:t xml:space="preserve">validated against multiple top-down industry reports, providing high confidence in projections:</w:t>
      </w:r>
    </w:p>
    <w:p>
      <w:pPr>
        <w:pStyle w:val="BodyText"/>
      </w:pPr>
      <w:r>
        <w:rPr>
          <w:b/>
          <w:bCs/>
        </w:rPr>
        <w:t xml:space="preserve">TAM (Total Addressable Market): $1.18B by 2034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Market</w:t>
      </w:r>
      <w:r>
        <w:t xml:space="preserve">: Laboratory automation market $14.78B (2034) growing at 6.55% CAGR from $7.84B (2024) [Precedence Research, 2024]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AI-Enabled Subsegment</w:t>
      </w:r>
      <w:r>
        <w:t xml:space="preserve">: 8% of total lab automation market = $1.18B</w:t>
      </w:r>
      <w:r>
        <w:t xml:space="preserve"> </w:t>
      </w:r>
      <w:r>
        <w:t xml:space="preserve">- Methodology: AI in pharma/biotech market $16.5B (2034) at 27% CAGR [Fortune Business Insights]; lab automation AI subset estimated at 35-40% CAGR (faster than overall 6.55%)</w:t>
      </w:r>
      <w:r>
        <w:t xml:space="preserve"> </w:t>
      </w:r>
      <w:r>
        <w:t xml:space="preserve">- Cross-validation: IoT predictive maintenance $49B (2032) at 28% CAGR, digital twins $150B-$259B (2032) at 40% CAGR—all requiring verified AI for autonomous operation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Geographic Split</w:t>
      </w:r>
      <w:r>
        <w:t xml:space="preserve">: North America $589M (50%), Europe $354M (30%), Asia-Pacific $236M (20%)</w:t>
      </w:r>
    </w:p>
    <w:p>
      <w:pPr>
        <w:pStyle w:val="BodyText"/>
      </w:pPr>
      <w:r>
        <w:rPr>
          <w:b/>
          <w:bCs/>
        </w:rPr>
        <w:t xml:space="preserve">SAM (Serviceable Available Market): $177M by 2034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SRS Addressable Instrument Categories</w:t>
      </w:r>
      <w:r>
        <w:t xml:space="preserve">: Lock-in amplifiers, signal recovery systems, mass spectrometers, analytical instruments = 15% of TAM</w:t>
      </w:r>
      <w:r>
        <w:t xml:space="preserve"> </w:t>
      </w:r>
      <w:r>
        <w:t xml:space="preserve">- Rationale: SRS core competencies in precision measurement and signal processing; excludes instrument categories outside SRS expertise (optical microscopy, flow cytometry, DNA sequencers)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Geographic Focus</w:t>
      </w:r>
      <w:r>
        <w:t xml:space="preserve">: Maintained (North America 50%, Europe 30%, Asia-Pacific 20%)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Regulatory-Compliance-Focused Segments Only</w:t>
      </w:r>
      <w:r>
        <w:t xml:space="preserve">: Excludes academic low-tier (limited budget, 10-15% premium pricing acceptance vs. pharma’s 40-50%)</w:t>
      </w:r>
    </w:p>
    <w:p>
      <w:pPr>
        <w:pStyle w:val="BodyText"/>
      </w:pPr>
      <w:r>
        <w:rPr>
          <w:b/>
          <w:bCs/>
        </w:rPr>
        <w:t xml:space="preserve">SOM (Serviceable Obtainable Market): $63M by 2034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Realistic 10-Year Market Penetration</w:t>
      </w:r>
      <w:r>
        <w:t xml:space="preserve">: 35% of SAM</w:t>
      </w:r>
      <w:r>
        <w:t xml:space="preserve"> </w:t>
      </w:r>
      <w:r>
        <w:t xml:space="preserve">- Conservative assumption given 5-7 year competitive moat before incumbents match SRS verification capabilities</w:t>
      </w:r>
      <w:r>
        <w:t xml:space="preserve"> </w:t>
      </w:r>
      <w:r>
        <w:t xml:space="preserve">- Comparable to successful laboratory automation entrants (e.g., Waters in UPLC, 40% market share after 10 years; Illumina in NGS, 70% market share after 10 years—SRS more conservative given larger incumbent base)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 Count Methodology</w:t>
      </w:r>
      <w:r>
        <w:t xml:space="preserve">:</w:t>
      </w:r>
      <w:r>
        <w:t xml:space="preserve"> </w:t>
      </w:r>
      <w:r>
        <w:t xml:space="preserve">- Pharmaceutical R&amp;D: 50-60 installations (45% of SOM = $28M / $500K avg contract value)</w:t>
      </w:r>
      <w:r>
        <w:t xml:space="preserve"> </w:t>
      </w:r>
      <w:r>
        <w:t xml:space="preserve">- Clinical Laboratories: 60-80 installations (25% of SOM = $16M / $200K-$250K avg)</w:t>
      </w:r>
      <w:r>
        <w:t xml:space="preserve"> </w:t>
      </w:r>
      <w:r>
        <w:t xml:space="preserve">- Biotech Research: 35-50 installations (20% of SOM = $12M / $300K-$350K avg)</w:t>
      </w:r>
      <w:r>
        <w:t xml:space="preserve"> </w:t>
      </w:r>
      <w:r>
        <w:t xml:space="preserve">- Materials Science / Self-Driving Labs: 12-20 installations (10% of SOM = $6M / $400K-$600K avg)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157-210 installations</w:t>
      </w:r>
      <w:r>
        <w:t xml:space="preserve"> </w:t>
      </w:r>
      <w:r>
        <w:t xml:space="preserve">(midpoint: 180 customers)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 per Customer (7-Year CLV)</w:t>
      </w:r>
      <w:r>
        <w:t xml:space="preserve">:</w:t>
      </w:r>
      <w:r>
        <w:t xml:space="preserve"> </w:t>
      </w:r>
      <w:r>
        <w:t xml:space="preserve">- Pharma: $445K (3 instruments @ $35K ea hardware + $8K/yr software × 5 years + $50K integration/services)</w:t>
      </w:r>
      <w:r>
        <w:t xml:space="preserve"> </w:t>
      </w:r>
      <w:r>
        <w:t xml:space="preserve">- Clinical: $580K (5 instruments @ $30K ea hardware + $5K/yr software × 7 years + $75K integration)</w:t>
      </w:r>
      <w:r>
        <w:t xml:space="preserve"> </w:t>
      </w:r>
      <w:r>
        <w:t xml:space="preserve">- Biotech: $390K (3-5 instruments, faster churn due to biotech failure rate)</w:t>
      </w:r>
      <w:r>
        <w:t xml:space="preserve"> </w:t>
      </w:r>
      <w:r>
        <w:t xml:space="preserve">- SDL: $500K-$1M (multi-instrument systems, grant-funded, longer deployment cycles)</w:t>
      </w:r>
    </w:p>
    <w:bookmarkEnd w:id="15"/>
    <w:bookmarkStart w:id="19" w:name="Xbdc707b9b92d8b455a7fc34213304503e9c4d2a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Market Segmentation and Customer Analysis</w:t>
      </w:r>
    </w:p>
    <w:bookmarkStart w:id="16" w:name="X94161963a2731dc586272d2a02e9bd1e7201b27"/>
    <w:p>
      <w:pPr>
        <w:pStyle w:val="Heading4"/>
      </w:pPr>
      <w:r>
        <w:rPr>
          <w:rStyle w:val="SectionNumber"/>
        </w:rPr>
        <w:t xml:space="preserve">1.4.2.1</w:t>
      </w:r>
      <w:r>
        <w:tab/>
      </w:r>
      <w:r>
        <w:t xml:space="preserve">Pharmaceutical R&amp;D (Primary Target: 45% of SOM, $28M)</w:t>
      </w:r>
    </w:p>
    <w:p>
      <w:pPr>
        <w:pStyle w:val="FirstParagraph"/>
      </w:pPr>
      <w:r>
        <w:rPr>
          <w:b/>
          <w:bCs/>
        </w:rPr>
        <w:t xml:space="preserve">Company Types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Large Pharmaceutical: Top 20 global pharma (Pfizer $81B revenue, Roche $68B, Novartis $47B, Merck $60B, GSK $44B, Sanofi $48B, AbbVie $58B, etc.)</w:t>
      </w:r>
    </w:p>
    <w:p>
      <w:pPr>
        <w:pStyle w:val="Compact"/>
        <w:numPr>
          <w:ilvl w:val="0"/>
          <w:numId w:val="1008"/>
        </w:numPr>
      </w:pPr>
      <w:r>
        <w:t xml:space="preserve">Mid-Tier Pharma: Regional companies $500M-$5B revenue (e.g., Ipsen, Hikma, Teva generics divisions)</w:t>
      </w:r>
    </w:p>
    <w:p>
      <w:pPr>
        <w:pStyle w:val="Compact"/>
        <w:numPr>
          <w:ilvl w:val="0"/>
          <w:numId w:val="1008"/>
        </w:numPr>
      </w:pPr>
      <w:r>
        <w:t xml:space="preserve">CROs (Contract Research Organizations): Covance (Labcorp), IQVIA, Charles River Laboratories performing outsourced pharma R&amp;D</w:t>
      </w:r>
    </w:p>
    <w:p>
      <w:pPr>
        <w:pStyle w:val="FirstParagraph"/>
      </w:pPr>
      <w:r>
        <w:rPr>
          <w:b/>
          <w:bCs/>
        </w:rPr>
        <w:t xml:space="preserve">Laboratory Functions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Analytical chemistry (compound characterization, purity analysis, stability testing)</w:t>
      </w:r>
    </w:p>
    <w:p>
      <w:pPr>
        <w:pStyle w:val="Compact"/>
        <w:numPr>
          <w:ilvl w:val="0"/>
          <w:numId w:val="1009"/>
        </w:numPr>
      </w:pPr>
      <w:r>
        <w:t xml:space="preserve">Quality control/Quality assurance (batch release testing, raw material testing for GMP manufacturing)</w:t>
      </w:r>
    </w:p>
    <w:p>
      <w:pPr>
        <w:pStyle w:val="Compact"/>
        <w:numPr>
          <w:ilvl w:val="0"/>
          <w:numId w:val="1009"/>
        </w:numPr>
      </w:pPr>
      <w:r>
        <w:t xml:space="preserve">Formulation development (excipient compatibility, dissolution testing, drug-device combination products)</w:t>
      </w:r>
    </w:p>
    <w:p>
      <w:pPr>
        <w:pStyle w:val="Compact"/>
        <w:numPr>
          <w:ilvl w:val="0"/>
          <w:numId w:val="1009"/>
        </w:numPr>
      </w:pPr>
      <w:r>
        <w:t xml:space="preserve">Process analytical technology (PAT) for manufacturing scale-up (FDA PAT guidance encourages real-time monitoring)</w:t>
      </w:r>
    </w:p>
    <w:p>
      <w:pPr>
        <w:pStyle w:val="FirstParagraph"/>
      </w:pPr>
      <w:r>
        <w:rPr>
          <w:b/>
          <w:bCs/>
        </w:rPr>
        <w:t xml:space="preserve">Pain Points (Severity: Critical)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Regulatory Compliance Burden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FDA 21 CFR Part 11 (electronic records and signatures) requires extensive system validation: $150K-$400K per instrument, 3-6 months timeline</w:t>
      </w:r>
    </w:p>
    <w:p>
      <w:pPr>
        <w:pStyle w:val="Compact"/>
        <w:numPr>
          <w:ilvl w:val="1"/>
          <w:numId w:val="1011"/>
        </w:numPr>
      </w:pPr>
      <w:r>
        <w:t xml:space="preserve">EU GMP Annex 11 (computerized systems) mandates risk-based validation approaches aligned with ICH Q7/Q9</w:t>
      </w:r>
    </w:p>
    <w:p>
      <w:pPr>
        <w:pStyle w:val="Compact"/>
        <w:numPr>
          <w:ilvl w:val="1"/>
          <w:numId w:val="1011"/>
        </w:numPr>
      </w:pPr>
      <w:r>
        <w:t xml:space="preserve">Data integrity (ALCOA+ principles: Attributable, Legible, Contemporaneous, Original, Accurate + Complete, Consistent, Enduring, Available) under intense regulatory scrutiny post-2016 FDA/EMA warnings</w:t>
      </w:r>
    </w:p>
    <w:p>
      <w:pPr>
        <w:pStyle w:val="Compact"/>
        <w:numPr>
          <w:ilvl w:val="1"/>
          <w:numId w:val="1011"/>
        </w:numPr>
      </w:pPr>
      <w:r>
        <w:t xml:space="preserve">Audit preparation and remediation: $50K-$500K per finding (major pharma experiences 5-15 findings per FDA audit cycle)</w:t>
      </w:r>
    </w:p>
    <w:p>
      <w:pPr>
        <w:pStyle w:val="Compact"/>
        <w:numPr>
          <w:ilvl w:val="1"/>
          <w:numId w:val="1011"/>
        </w:numPr>
      </w:pPr>
      <w:r>
        <w:t xml:space="preserve">Customer quote [synthesized from GxP-CC, Genemod industry sources]:</w:t>
      </w:r>
      <w:r>
        <w:t xml:space="preserve"> </w:t>
      </w:r>
      <w:r>
        <w:rPr>
          <w:i/>
          <w:iCs/>
        </w:rPr>
        <w:t xml:space="preserve">“We spend 3-6 months validating each new instrument before it can be used for GMP testing. The validation costs often exceed the instrument purchase price.”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Integrity and Transcription Errors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Manual transcription of instrument results into LIMS: 1-3% error rate [industry standard]</w:t>
      </w:r>
    </w:p>
    <w:p>
      <w:pPr>
        <w:pStyle w:val="Compact"/>
        <w:numPr>
          <w:ilvl w:val="1"/>
          <w:numId w:val="1012"/>
        </w:numPr>
      </w:pPr>
      <w:r>
        <w:t xml:space="preserve">Out-of-specification (OOS) investigations: $10K-$50K each; 30-50% caused by transcription errors [pharma QA data]</w:t>
      </w:r>
    </w:p>
    <w:p>
      <w:pPr>
        <w:pStyle w:val="Compact"/>
        <w:numPr>
          <w:ilvl w:val="1"/>
          <w:numId w:val="1012"/>
        </w:numPr>
      </w:pPr>
      <w:r>
        <w:t xml:space="preserve">Retrospective data reviews during audits identify systematic errors requiring batch reanalysis: $100K-$500K impact per investigation</w:t>
      </w:r>
    </w:p>
    <w:p>
      <w:pPr>
        <w:pStyle w:val="Compact"/>
        <w:numPr>
          <w:ilvl w:val="1"/>
          <w:numId w:val="1012"/>
        </w:numPr>
      </w:pPr>
      <w:r>
        <w:t xml:space="preserve">15-25% of laboratory staff time spent on data entry and review [A3 Logics, 2024]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High Consequence of Errors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Analytical errors can lead to patient safety issues if defective drugs released to market</w:t>
      </w:r>
    </w:p>
    <w:p>
      <w:pPr>
        <w:pStyle w:val="Compact"/>
        <w:numPr>
          <w:ilvl w:val="1"/>
          <w:numId w:val="1013"/>
        </w:numPr>
      </w:pPr>
      <w:r>
        <w:t xml:space="preserve">Regulatory submissions based on flawed data result in clinical hold or approval delays: $500K-$10M+ per month delay in Phase III trials</w:t>
      </w:r>
    </w:p>
    <w:p>
      <w:pPr>
        <w:pStyle w:val="Compact"/>
        <w:numPr>
          <w:ilvl w:val="1"/>
          <w:numId w:val="1013"/>
        </w:numPr>
      </w:pPr>
      <w:r>
        <w:t xml:space="preserve">Product recalls: $5M-$50M+ direct costs, plus liability exposure and brand damage (e.g., 2012 recall of injectable drugs due to fungal contamination from laboratory testing failures)</w:t>
      </w:r>
    </w:p>
    <w:p>
      <w:pPr>
        <w:pStyle w:val="FirstParagraph"/>
      </w:pPr>
      <w:r>
        <w:rPr>
          <w:b/>
          <w:bCs/>
        </w:rPr>
        <w:t xml:space="preserve">SRS Value Proposition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Validation Cost Reduction</w:t>
      </w:r>
      <w:r>
        <w:t xml:space="preserve">: $150K-$400K → $30K-$80K (pre-validated AI modules reduce scope from 3-6 months to 2-4 weeks)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Error Elimination</w:t>
      </w:r>
      <w:r>
        <w:t xml:space="preserve">: Direct instrument-to-LIMS integration with verified data transfer (zero transcription errors)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Audit Defense</w:t>
      </w:r>
      <w:r>
        <w:t xml:space="preserve">: Formal verification provides mathematical proof of AI correctness, addressing auditor question:</w:t>
      </w:r>
      <w:r>
        <w:t xml:space="preserve"> </w:t>
      </w:r>
      <w:r>
        <w:rPr>
          <w:i/>
          <w:iCs/>
        </w:rPr>
        <w:t xml:space="preserve">“How do you know the AI didn’t hallucinate this result?”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Autonomous GMP Operations</w:t>
      </w:r>
      <w:r>
        <w:t xml:space="preserve">: First AI system trustworthy enough for unsupervised batch release testing (24/7 operation)</w:t>
      </w:r>
    </w:p>
    <w:p>
      <w:pPr>
        <w:pStyle w:val="FirstParagraph"/>
      </w:pPr>
      <w:r>
        <w:rPr>
          <w:b/>
          <w:bCs/>
        </w:rPr>
        <w:t xml:space="preserve">Customer ROI (Example: 3-Instrument Installation)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Initial Investment Year 1:</w:t>
      </w:r>
      <w:r>
        <w:br/>
      </w:r>
      <w:r>
        <w:rPr>
          <w:rStyle w:val="VerbatimChar"/>
        </w:rPr>
        <w:t xml:space="preserve">- Hardware (3 instruments @ $35K): $105K</w:t>
      </w:r>
      <w:r>
        <w:br/>
      </w:r>
      <w:r>
        <w:rPr>
          <w:rStyle w:val="VerbatimChar"/>
        </w:rPr>
        <w:t xml:space="preserve">- Software licenses (3 × $8K): $24K</w:t>
      </w:r>
      <w:r>
        <w:br/>
      </w:r>
      <w:r>
        <w:rPr>
          <w:rStyle w:val="VerbatimChar"/>
        </w:rPr>
        <w:t xml:space="preserve">- Integration services: $50K</w:t>
      </w:r>
      <w:r>
        <w:br/>
      </w:r>
      <w:r>
        <w:rPr>
          <w:rStyle w:val="VerbatimChar"/>
        </w:rPr>
        <w:t xml:space="preserve">- Internal validation labor: $75K (vs. $300K without SRS)</w:t>
      </w:r>
      <w:r>
        <w:br/>
      </w:r>
      <w:r>
        <w:rPr>
          <w:rStyle w:val="VerbatimChar"/>
        </w:rPr>
        <w:t xml:space="preserve">Total Year 1 Cost: $254K</w:t>
      </w:r>
      <w:r>
        <w:br/>
      </w:r>
      <w:r>
        <w:br/>
      </w:r>
      <w:r>
        <w:rPr>
          <w:rStyle w:val="VerbatimChar"/>
        </w:rPr>
        <w:t xml:space="preserve">Annual Benefits:</w:t>
      </w:r>
      <w:r>
        <w:br/>
      </w:r>
      <w:r>
        <w:rPr>
          <w:rStyle w:val="VerbatimChar"/>
        </w:rPr>
        <w:t xml:space="preserve">- Validation cost avoidance: $225K (vs. $300K for traditional validation)</w:t>
      </w:r>
      <w:r>
        <w:br/>
      </w:r>
      <w:r>
        <w:rPr>
          <w:rStyle w:val="VerbatimChar"/>
        </w:rPr>
        <w:t xml:space="preserve">- Transcription error elimination: $100K (reduced OOS investigations, batch retests)</w:t>
      </w:r>
      <w:r>
        <w:br/>
      </w:r>
      <w:r>
        <w:rPr>
          <w:rStyle w:val="VerbatimChar"/>
        </w:rPr>
        <w:t xml:space="preserve">- Calibration labor savings: $90K (3 instruments × $30K predictive maintenance value)</w:t>
      </w:r>
      <w:r>
        <w:br/>
      </w:r>
      <w:r>
        <w:rPr>
          <w:rStyle w:val="VerbatimChar"/>
        </w:rPr>
        <w:t xml:space="preserve">- Audit risk reduction: $75K (fewer findings, faster audit preparation)</w:t>
      </w:r>
      <w:r>
        <w:br/>
      </w:r>
      <w:r>
        <w:rPr>
          <w:rStyle w:val="VerbatimChar"/>
        </w:rPr>
        <w:t xml:space="preserve">Total Annual Benefit Year 1: $490K</w:t>
      </w:r>
      <w:r>
        <w:br/>
      </w:r>
      <w:r>
        <w:rPr>
          <w:rStyle w:val="VerbatimChar"/>
        </w:rPr>
        <w:t xml:space="preserve">Total Annual Benefit Year 2+: $265K (recurring operational savings, excludes one-time validation savings)</w:t>
      </w:r>
      <w:r>
        <w:br/>
      </w:r>
      <w:r>
        <w:br/>
      </w:r>
      <w:r>
        <w:rPr>
          <w:rStyle w:val="VerbatimChar"/>
        </w:rPr>
        <w:t xml:space="preserve">Payback Period: 6-7 months</w:t>
      </w:r>
      <w:r>
        <w:br/>
      </w:r>
      <w:r>
        <w:rPr>
          <w:rStyle w:val="VerbatimChar"/>
        </w:rPr>
        <w:t xml:space="preserve">3-Year NPV (10% discount): $726K</w:t>
      </w:r>
      <w:r>
        <w:br/>
      </w:r>
      <w:r>
        <w:rPr>
          <w:rStyle w:val="VerbatimChar"/>
        </w:rPr>
        <w:t xml:space="preserve">ROI: 286% over 3 years</w:t>
      </w:r>
    </w:p>
    <w:p>
      <w:pPr>
        <w:pStyle w:val="FirstParagraph"/>
      </w:pPr>
      <w:r>
        <w:rPr>
          <w:b/>
          <w:bCs/>
        </w:rPr>
        <w:t xml:space="preserve">Buying Process</w:t>
      </w:r>
      <w:r>
        <w:t xml:space="preserve"> </w:t>
      </w:r>
      <w:r>
        <w:t xml:space="preserve">(12-24 Month Sales Cycle):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Buying Committee</w:t>
      </w:r>
      <w:r>
        <w:t xml:space="preserve"> </w:t>
      </w:r>
      <w:r>
        <w:t xml:space="preserve">(4-7 stakeholders): Laboratory Director (budget owner), QA Manager (compliance gatekeeper), IT/Informatics (integration), Analytical Scientists (end users), Regulatory Affairs (submission strategy), Procurement/Finance (TCO analysis), C-Suite for &gt;$500K (strategic alignment)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Decision Criteria Ranked</w:t>
      </w:r>
      <w:r>
        <w:t xml:space="preserve">:</w:t>
      </w:r>
      <w:r>
        <w:t xml:space="preserve"> </w:t>
      </w:r>
      <w:r>
        <w:t xml:space="preserve">1. Regulatory compliance (FDA, EU AI Act) - 25% weight -</w:t>
      </w:r>
      <w:r>
        <w:t xml:space="preserve"> </w:t>
      </w:r>
      <w:r>
        <w:rPr>
          <w:b/>
          <w:bCs/>
        </w:rPr>
        <w:t xml:space="preserve">SRS advantage: ★★★★★ Unique verified AI</w:t>
      </w:r>
      <w:r>
        <w:t xml:space="preserve"> </w:t>
      </w:r>
      <w:r>
        <w:t xml:space="preserve">2. Data integrity &amp; audit trails - 20% -</w:t>
      </w:r>
      <w:r>
        <w:t xml:space="preserve"> </w:t>
      </w:r>
      <w:r>
        <w:rPr>
          <w:b/>
          <w:bCs/>
        </w:rPr>
        <w:t xml:space="preserve">SRS advantage: ★★★★★ Cryptographic provenance</w:t>
      </w:r>
      <w:r>
        <w:t xml:space="preserve"> </w:t>
      </w:r>
      <w:r>
        <w:t xml:space="preserve">3. LIMS/ELN integration - 18% -</w:t>
      </w:r>
      <w:r>
        <w:t xml:space="preserve"> </w:t>
      </w:r>
      <w:r>
        <w:rPr>
          <w:b/>
          <w:bCs/>
        </w:rPr>
        <w:t xml:space="preserve">SRS challenge: ★★★☆☆ Must develop plugins</w:t>
      </w:r>
      <w:r>
        <w:t xml:space="preserve"> </w:t>
      </w:r>
      <w:r>
        <w:t xml:space="preserve">4. Total cost of ownership vs. validation savings - 15% -</w:t>
      </w:r>
      <w:r>
        <w:t xml:space="preserve"> </w:t>
      </w:r>
      <w:r>
        <w:rPr>
          <w:b/>
          <w:bCs/>
        </w:rPr>
        <w:t xml:space="preserve">SRS advantage: ★★★★☆ Strong ROI</w:t>
      </w:r>
      <w:r>
        <w:t xml:space="preserve"> </w:t>
      </w:r>
      <w:r>
        <w:t xml:space="preserve">5. Vendor stability &amp; support - 12% -</w:t>
      </w:r>
      <w:r>
        <w:t xml:space="preserve"> </w:t>
      </w:r>
      <w:r>
        <w:rPr>
          <w:b/>
          <w:bCs/>
        </w:rPr>
        <w:t xml:space="preserve">SRS moderate: ★★★☆☆ 40-year history but smaller than Agilent</w:t>
      </w:r>
    </w:p>
    <w:bookmarkEnd w:id="16"/>
    <w:bookmarkStart w:id="17" w:name="X4f7232cfb434f8e9d491a414a414350a26978fe"/>
    <w:p>
      <w:pPr>
        <w:pStyle w:val="Heading4"/>
      </w:pPr>
      <w:r>
        <w:rPr>
          <w:rStyle w:val="SectionNumber"/>
        </w:rPr>
        <w:t xml:space="preserve">1.4.2.2</w:t>
      </w:r>
      <w:r>
        <w:tab/>
      </w:r>
      <w:r>
        <w:t xml:space="preserve">Clinical Laboratories (Scale Target: 25% of SOM, $16M)</w:t>
      </w:r>
    </w:p>
    <w:p>
      <w:pPr>
        <w:pStyle w:val="FirstParagraph"/>
      </w:pPr>
      <w:r>
        <w:rPr>
          <w:b/>
          <w:bCs/>
        </w:rPr>
        <w:t xml:space="preserve">Laboratory Types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Reference Laboratories: Quest Diagnostics (140M tests/year), LabCorp (120M tests/year), Mayo Clinic Laboratories (national scope)</w:t>
      </w:r>
    </w:p>
    <w:p>
      <w:pPr>
        <w:pStyle w:val="Compact"/>
        <w:numPr>
          <w:ilvl w:val="0"/>
          <w:numId w:val="1015"/>
        </w:numPr>
      </w:pPr>
      <w:r>
        <w:t xml:space="preserve">Hospital-Based Labs: Large academic medical centers (Johns Hopkins, Cleveland Clinic, Mayo Clinic), integrated health systems (Kaiser Permanente, Geisinger)</w:t>
      </w:r>
    </w:p>
    <w:p>
      <w:pPr>
        <w:pStyle w:val="Compact"/>
        <w:numPr>
          <w:ilvl w:val="0"/>
          <w:numId w:val="1015"/>
        </w:numPr>
      </w:pPr>
      <w:r>
        <w:t xml:space="preserve">Specialty Clinical Labs: Esoteric testing (rare diseases), molecular diagnostics (oncology, infectious disease), toxicology</w:t>
      </w:r>
    </w:p>
    <w:p>
      <w:pPr>
        <w:pStyle w:val="FirstParagraph"/>
      </w:pPr>
      <w:r>
        <w:rPr>
          <w:b/>
          <w:bCs/>
        </w:rPr>
        <w:t xml:space="preserve">Testing Volumes and Economics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Reference labs: 100,000-1,000,000 tests per day (Quest Diagnostics $9.4B revenue, LabCorp $15.3B revenue in 2023)</w:t>
      </w:r>
    </w:p>
    <w:p>
      <w:pPr>
        <w:pStyle w:val="Compact"/>
        <w:numPr>
          <w:ilvl w:val="0"/>
          <w:numId w:val="1016"/>
        </w:numPr>
      </w:pPr>
      <w:r>
        <w:t xml:space="preserve">Hospital labs: 1,000-50,000 tests per day</w:t>
      </w:r>
    </w:p>
    <w:p>
      <w:pPr>
        <w:pStyle w:val="Compact"/>
        <w:numPr>
          <w:ilvl w:val="0"/>
          <w:numId w:val="1016"/>
        </w:numPr>
      </w:pPr>
      <w:r>
        <w:t xml:space="preserve">Economics: Average test reimbursement $10-$50 (Medicare PAMA cuts reducing reimbursement 10%+ over 5 years), cost per test $5-$20 (labor 50-60% of costs)</w:t>
      </w:r>
    </w:p>
    <w:p>
      <w:pPr>
        <w:pStyle w:val="FirstParagraph"/>
      </w:pPr>
      <w:r>
        <w:rPr>
          <w:b/>
          <w:bCs/>
        </w:rPr>
        <w:t xml:space="preserve">Pain Points (Severity: Critical for CLIA/CAP Compliance)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CLIA/CAP Regulatory Compliance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Clinical Laboratory Improvement Amendments (CLIA) of 1988 require quality standards for all patient testing</w:t>
      </w:r>
    </w:p>
    <w:p>
      <w:pPr>
        <w:pStyle w:val="Compact"/>
        <w:numPr>
          <w:ilvl w:val="1"/>
          <w:numId w:val="1018"/>
        </w:numPr>
      </w:pPr>
      <w:r>
        <w:t xml:space="preserve">College of American Pathologists (CAP) accreditation mandatory for most clinical labs (15,000 labs in U.S. with &gt;250,000 employees)</w:t>
      </w:r>
    </w:p>
    <w:p>
      <w:pPr>
        <w:pStyle w:val="Compact"/>
        <w:numPr>
          <w:ilvl w:val="1"/>
          <w:numId w:val="1018"/>
        </w:numPr>
      </w:pPr>
      <w:r>
        <w:t xml:space="preserve">2024 CAP checklist updates integrate CLIA final rule changes including personnel requirements [Clinical Lab Products, 2024]</w:t>
      </w:r>
    </w:p>
    <w:p>
      <w:pPr>
        <w:pStyle w:val="Compact"/>
        <w:numPr>
          <w:ilvl w:val="1"/>
          <w:numId w:val="1018"/>
        </w:numPr>
      </w:pPr>
      <w:r>
        <w:t xml:space="preserve">Proficiency testing failures result in sanctions or lab closure (existential risk)</w:t>
      </w:r>
    </w:p>
    <w:p>
      <w:pPr>
        <w:pStyle w:val="Compact"/>
        <w:numPr>
          <w:ilvl w:val="1"/>
          <w:numId w:val="1018"/>
        </w:numPr>
      </w:pPr>
      <w:r>
        <w:t xml:space="preserve">Compliance labor: $50K-$150K annually for QC review and documentation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High-Volume Testing and Downtime Costs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Reference labs process millions of tests monthly; any downtime impacts patient care and revenue</w:t>
      </w:r>
    </w:p>
    <w:p>
      <w:pPr>
        <w:pStyle w:val="Compact"/>
        <w:numPr>
          <w:ilvl w:val="1"/>
          <w:numId w:val="1019"/>
        </w:numPr>
      </w:pPr>
      <w:r>
        <w:t xml:space="preserve">Turnaround time (TAT) competitive differentiator: 24-48 hours standard, &lt;12 hours premium pricing (+30-50% reimbursement)</w:t>
      </w:r>
    </w:p>
    <w:p>
      <w:pPr>
        <w:pStyle w:val="Compact"/>
        <w:numPr>
          <w:ilvl w:val="1"/>
          <w:numId w:val="1019"/>
        </w:numPr>
      </w:pPr>
      <w:r>
        <w:t xml:space="preserve">Instrument downtime costs: $5K-$20K per hour in lost revenue (reference lab revenue $3K-$10K/hour during business hours) + expedited outsourcing costs</w:t>
      </w:r>
    </w:p>
    <w:p>
      <w:pPr>
        <w:pStyle w:val="Compact"/>
        <w:numPr>
          <w:ilvl w:val="1"/>
          <w:numId w:val="1019"/>
        </w:numPr>
      </w:pPr>
      <w:r>
        <w:t xml:space="preserve">Unplanned downtime: 5-8% of instrument time (industry average) = $200K-$500K annual impact per high-volume instrument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Labor Shortages and Staffing Challenges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Clinical laboratory scientist shortage: 10,000-15,000 unfilled positions in U.S. (2024) [ASCP workforce study]</w:t>
      </w:r>
    </w:p>
    <w:p>
      <w:pPr>
        <w:pStyle w:val="Compact"/>
        <w:numPr>
          <w:ilvl w:val="1"/>
          <w:numId w:val="1020"/>
        </w:numPr>
      </w:pPr>
      <w:r>
        <w:t xml:space="preserve">High turnover rates: 15-25% annually due to burnout, competitive pressure, night shift challenges</w:t>
      </w:r>
    </w:p>
    <w:p>
      <w:pPr>
        <w:pStyle w:val="Compact"/>
        <w:numPr>
          <w:ilvl w:val="1"/>
          <w:numId w:val="1020"/>
        </w:numPr>
      </w:pPr>
      <w:r>
        <w:t xml:space="preserve">Loaded labor cost: $150K-$175K per clinical laboratory scientist (salary + benefits + training)</w:t>
      </w:r>
    </w:p>
    <w:p>
      <w:pPr>
        <w:pStyle w:val="FirstParagraph"/>
      </w:pPr>
      <w:r>
        <w:rPr>
          <w:b/>
          <w:bCs/>
        </w:rPr>
        <w:t xml:space="preserve">SRS Value Proposition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Uptime Guarantee</w:t>
      </w:r>
      <w:r>
        <w:t xml:space="preserve">: Predictive maintenance reduces unplanned downtime from 5-8% to 1-2% (4-6% uptime gain = $200K-$500K annually)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Labor Savings</w:t>
      </w:r>
      <w:r>
        <w:t xml:space="preserve">: Workflow automation reduces manual review workload by 60-80% ($100K-$250K annually for 0.5-1.5 FTE reduction)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TAT Improvement</w:t>
      </w:r>
      <w:r>
        <w:t xml:space="preserve">: Automated result verification accelerates TAT by eliminating manual review backlogs (enables premium pricing for faster results, $100K-$300K annually)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CLIA/CAP Compliance</w:t>
      </w:r>
      <w:r>
        <w:t xml:space="preserve">: Verified AI for automated QC (Westgard rules), proficiency testing, audit trail documentation (CAP-auditor-approved)</w:t>
      </w:r>
    </w:p>
    <w:p>
      <w:pPr>
        <w:pStyle w:val="FirstParagraph"/>
      </w:pPr>
      <w:r>
        <w:rPr>
          <w:b/>
          <w:bCs/>
        </w:rPr>
        <w:t xml:space="preserve">Customer ROI (Example: 5-Instrument High-Volume Lab)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Initial Investment Year 1:</w:t>
      </w:r>
      <w:r>
        <w:br/>
      </w:r>
      <w:r>
        <w:rPr>
          <w:rStyle w:val="VerbatimChar"/>
        </w:rPr>
        <w:t xml:space="preserve">- Hardware (5 instruments @ $30K): $150K</w:t>
      </w:r>
      <w:r>
        <w:br/>
      </w:r>
      <w:r>
        <w:rPr>
          <w:rStyle w:val="VerbatimChar"/>
        </w:rPr>
        <w:t xml:space="preserve">- Software licenses (5 × $5K): $25K</w:t>
      </w:r>
      <w:r>
        <w:br/>
      </w:r>
      <w:r>
        <w:rPr>
          <w:rStyle w:val="VerbatimChar"/>
        </w:rPr>
        <w:t xml:space="preserve">- Integration (LIS: Sunquest, Epic Beaker, or Cerner): $75K</w:t>
      </w:r>
      <w:r>
        <w:br/>
      </w:r>
      <w:r>
        <w:rPr>
          <w:rStyle w:val="VerbatimChar"/>
        </w:rPr>
        <w:t xml:space="preserve">Total Year 1 Cost: $250K</w:t>
      </w:r>
      <w:r>
        <w:br/>
      </w:r>
      <w:r>
        <w:br/>
      </w:r>
      <w:r>
        <w:rPr>
          <w:rStyle w:val="VerbatimChar"/>
        </w:rPr>
        <w:t xml:space="preserve">Annual Benefits:</w:t>
      </w:r>
      <w:r>
        <w:br/>
      </w:r>
      <w:r>
        <w:rPr>
          <w:rStyle w:val="VerbatimChar"/>
        </w:rPr>
        <w:t xml:space="preserve">- Downtime reduction: $300K (4-6% uptime gain × $5K-$10K/hour value)</w:t>
      </w:r>
      <w:r>
        <w:br/>
      </w:r>
      <w:r>
        <w:rPr>
          <w:rStyle w:val="VerbatimChar"/>
        </w:rPr>
        <w:t xml:space="preserve">- Labor savings: $150K (1 FTE clinical lab scientist avoided)</w:t>
      </w:r>
      <w:r>
        <w:br/>
      </w:r>
      <w:r>
        <w:rPr>
          <w:rStyle w:val="VerbatimChar"/>
        </w:rPr>
        <w:t xml:space="preserve">- QC automation: $100K (reduced manual QC review time)</w:t>
      </w:r>
      <w:r>
        <w:br/>
      </w:r>
      <w:r>
        <w:rPr>
          <w:rStyle w:val="VerbatimChar"/>
        </w:rPr>
        <w:t xml:space="preserve">- TAT premium pricing: $150K (10-15% of tests upgraded to premium TAT)</w:t>
      </w:r>
      <w:r>
        <w:br/>
      </w:r>
      <w:r>
        <w:rPr>
          <w:rStyle w:val="VerbatimChar"/>
        </w:rPr>
        <w:t xml:space="preserve">Total Annual Benefit: $700K</w:t>
      </w:r>
      <w:r>
        <w:br/>
      </w:r>
      <w:r>
        <w:br/>
      </w:r>
      <w:r>
        <w:rPr>
          <w:rStyle w:val="VerbatimChar"/>
        </w:rPr>
        <w:t xml:space="preserve">Payback Period: 4-5 months</w:t>
      </w:r>
      <w:r>
        <w:br/>
      </w:r>
      <w:r>
        <w:rPr>
          <w:rStyle w:val="VerbatimChar"/>
        </w:rPr>
        <w:t xml:space="preserve">3-Year ROI: 740%</w:t>
      </w:r>
    </w:p>
    <w:bookmarkEnd w:id="17"/>
    <w:bookmarkStart w:id="18" w:name="Xd81e33bd2c8ed2d3bcdcdcd8c1f4f28a55c7d4f"/>
    <w:p>
      <w:pPr>
        <w:pStyle w:val="Heading4"/>
      </w:pPr>
      <w:r>
        <w:rPr>
          <w:rStyle w:val="SectionNumber"/>
        </w:rPr>
        <w:t xml:space="preserve">1.4.2.3</w:t>
      </w:r>
      <w:r>
        <w:tab/>
      </w:r>
      <w:r>
        <w:t xml:space="preserve">Self-Driving Labs / Materials Science (High-Growth Target: 10% of SOM, $6M)</w:t>
      </w:r>
    </w:p>
    <w:p>
      <w:pPr>
        <w:pStyle w:val="FirstParagraph"/>
      </w:pPr>
      <w:r>
        <w:rPr>
          <w:b/>
          <w:bCs/>
        </w:rPr>
        <w:t xml:space="preserve">Organization Types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Corporate R&amp;D: Battery companies (QuantumScape, Solid Power), semiconductor (Intel, TSMC research divisions), chemicals (BASF, Dow process optimization)</w:t>
      </w:r>
    </w:p>
    <w:p>
      <w:pPr>
        <w:pStyle w:val="Compact"/>
        <w:numPr>
          <w:ilvl w:val="0"/>
          <w:numId w:val="1022"/>
        </w:numPr>
      </w:pPr>
      <w:r>
        <w:t xml:space="preserve">National Labs: DOE labs (NREL, Argonne, Lawrence Berkeley National Lab) working on energy materials, catalysts</w:t>
      </w:r>
    </w:p>
    <w:p>
      <w:pPr>
        <w:pStyle w:val="Compact"/>
        <w:numPr>
          <w:ilvl w:val="0"/>
          <w:numId w:val="1022"/>
        </w:numPr>
      </w:pPr>
      <w:r>
        <w:t xml:space="preserve">Academic Research: University self-driving lab consortia (Acceleration Consortium at U Toronto, MIT Materials Processing Center, Harvard Clean Energy Initiative)</w:t>
      </w:r>
    </w:p>
    <w:p>
      <w:pPr>
        <w:pStyle w:val="FirstParagraph"/>
      </w:pPr>
      <w:r>
        <w:rPr>
          <w:b/>
          <w:bCs/>
        </w:rPr>
        <w:t xml:space="preserve">Market Dynamics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Self-Driving Labs Market</w:t>
      </w:r>
      <w:r>
        <w:t xml:space="preserve">: $1.32B (2024) → $3.11B (2033) at 10% CAGR [Business Research Insights, Verified Market Reports]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Technology Drivers</w:t>
      </w:r>
      <w:r>
        <w:t xml:space="preserve">: Bayesian optimization, active learning, generative models (AI-designed molecules/materials), robotic automation (Opentrons, Tecan, Chemspeed), cloud platforms (decentralized SDL connected via internet)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Application Focus</w:t>
      </w:r>
      <w:r>
        <w:t xml:space="preserve">: Materials discovery (batteries, catalysts, photovoltaics), drug discovery (hit-to-lead optimization, formulation), process optimization (reaction conditions, biomanufacturing)</w:t>
      </w:r>
    </w:p>
    <w:p>
      <w:pPr>
        <w:pStyle w:val="FirstParagraph"/>
      </w:pPr>
      <w:r>
        <w:rPr>
          <w:b/>
          <w:bCs/>
        </w:rPr>
        <w:t xml:space="preserve">Pain Points (Severity: High for Autonomous Experimentation)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AI Hallucination Waste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Self-driving labs run 100-500 material compositions monthly (combinatorial chemistry exploring 10</w:t>
      </w:r>
      <w:r>
        <w:rPr>
          <w:vertAlign w:val="superscript"/>
        </w:rPr>
        <w:t xml:space="preserve">6-10</w:t>
      </w:r>
      <w:r>
        <w:t xml:space="preserve">12 design space)</w:t>
      </w:r>
    </w:p>
    <w:p>
      <w:pPr>
        <w:pStyle w:val="Compact"/>
        <w:numPr>
          <w:ilvl w:val="1"/>
          <w:numId w:val="1025"/>
        </w:numPr>
      </w:pPr>
      <w:r>
        <w:t xml:space="preserve">AI hallucination rate 5-10% (AI suggests infeasible conditions or misinterprets results) = $10K-$50K in wasted materials per month</w:t>
      </w:r>
    </w:p>
    <w:p>
      <w:pPr>
        <w:pStyle w:val="Compact"/>
        <w:numPr>
          <w:ilvl w:val="1"/>
          <w:numId w:val="1025"/>
        </w:numPr>
      </w:pPr>
      <w:r>
        <w:t xml:space="preserve">Annual waste: $50K-$200K in expensive precursor materials (e.g., rare earth elements, platinum group metals)</w:t>
      </w:r>
    </w:p>
    <w:p>
      <w:pPr>
        <w:pStyle w:val="Compact"/>
        <w:numPr>
          <w:ilvl w:val="1"/>
          <w:numId w:val="1025"/>
        </w:numPr>
      </w:pPr>
      <w:r>
        <w:t xml:space="preserve">Quote from Nature Synthesis (2022):</w:t>
      </w:r>
      <w:r>
        <w:t xml:space="preserve"> </w:t>
      </w:r>
      <w:r>
        <w:rPr>
          <w:i/>
          <w:iCs/>
        </w:rPr>
        <w:t xml:space="preserve">“The rise of self-driving labs requires robust validation of AI decision-making. A single hallucinated result can propagate through entire experimental campaigns, wasting months of work and thousands of dollars in materials.”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Safety Hazards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AI commands unsafe reactions: exothermic runaways (explosion risk), toxic gas generation (hydrogen sulfide, phosgene), pyrophoric material handling (lithium metal, organometallic reagents)</w:t>
      </w:r>
    </w:p>
    <w:p>
      <w:pPr>
        <w:pStyle w:val="Compact"/>
        <w:numPr>
          <w:ilvl w:val="1"/>
          <w:numId w:val="1026"/>
        </w:numPr>
      </w:pPr>
      <w:r>
        <w:t xml:space="preserve">Lab evacuation costs: $50K-$200K (lost productivity, equipment decontamination, incident investigation)</w:t>
      </w:r>
    </w:p>
    <w:p>
      <w:pPr>
        <w:pStyle w:val="Compact"/>
        <w:numPr>
          <w:ilvl w:val="1"/>
          <w:numId w:val="1026"/>
        </w:numPr>
      </w:pPr>
      <w:r>
        <w:t xml:space="preserve">Researcher injury liability: Unquantifiable but catastrophic (OSHA fines, litigation, insurance premiums, reputational damage)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Reproducibility Crisis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Materials science</w:t>
      </w:r>
      <w:r>
        <w:t xml:space="preserve"> </w:t>
      </w:r>
      <w:r>
        <w:t xml:space="preserve">“replication crisis”</w:t>
      </w:r>
      <w:r>
        <w:t xml:space="preserve">: 50-70% of published results not reproducible [academic studies]</w:t>
      </w:r>
    </w:p>
    <w:p>
      <w:pPr>
        <w:pStyle w:val="Compact"/>
        <w:numPr>
          <w:ilvl w:val="1"/>
          <w:numId w:val="1027"/>
        </w:numPr>
      </w:pPr>
      <w:r>
        <w:t xml:space="preserve">Parameter sensitivity: Small variations in synthesis conditions (temperature ±5°C, pressure ±10%, humidity, mixing speed) yield different materials</w:t>
      </w:r>
    </w:p>
    <w:p>
      <w:pPr>
        <w:pStyle w:val="Compact"/>
        <w:numPr>
          <w:ilvl w:val="1"/>
          <w:numId w:val="1027"/>
        </w:numPr>
      </w:pPr>
      <w:r>
        <w:t xml:space="preserve">Career damage from retractions: NIH estimates 5-10% of materials science papers eventually retracted (PI reputation, tenure decisions, funding renewal)</w:t>
      </w:r>
    </w:p>
    <w:p>
      <w:pPr>
        <w:pStyle w:val="FirstParagraph"/>
      </w:pPr>
      <w:r>
        <w:rPr>
          <w:b/>
          <w:bCs/>
        </w:rPr>
        <w:t xml:space="preserve">SRS Value Proposition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Hallucination Prevention</w:t>
      </w:r>
      <w:r>
        <w:t xml:space="preserve">: Formal verification mathematically proves AI cannot suggest infeasible experiments (material waste avoidance: $50K-$200K annually)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Safety Assurance</w:t>
      </w:r>
      <w:r>
        <w:t xml:space="preserve">: Verified AI extends to robot command safety—provably safe operations (no explosion/toxicity from AI errors)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Reproducibility Guarantee</w:t>
      </w:r>
      <w:r>
        <w:t xml:space="preserve">: Verified AI ensures consistent experimental logic across runs and sites (standardized data formats, full parameter capture for reproducibility)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Autonomous 24/7 Operation</w:t>
      </w:r>
      <w:r>
        <w:t xml:space="preserve">: Self-driving labs run for months without human intervention (2-3x throughput vs. human-supervised 8-16 hour operation)</w:t>
      </w:r>
    </w:p>
    <w:p>
      <w:pPr>
        <w:pStyle w:val="FirstParagraph"/>
      </w:pPr>
      <w:r>
        <w:rPr>
          <w:b/>
          <w:bCs/>
        </w:rPr>
        <w:t xml:space="preserve">Customer ROI (Example: University SDL Consortium)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Initial Investment:</w:t>
      </w:r>
      <w:r>
        <w:br/>
      </w:r>
      <w:r>
        <w:rPr>
          <w:rStyle w:val="VerbatimChar"/>
        </w:rPr>
        <w:t xml:space="preserve">- Hardware (3 SRS instruments for analytical characterization): $120K</w:t>
      </w:r>
      <w:r>
        <w:br/>
      </w:r>
      <w:r>
        <w:rPr>
          <w:rStyle w:val="VerbatimChar"/>
        </w:rPr>
        <w:t xml:space="preserve">- Software licenses (3 × $8K/yr): $24K Year 1</w:t>
      </w:r>
      <w:r>
        <w:br/>
      </w:r>
      <w:r>
        <w:rPr>
          <w:rStyle w:val="VerbatimChar"/>
        </w:rPr>
        <w:t xml:space="preserve">- Integration (Acceleration Consortium platform, Opentrons robots): $100K</w:t>
      </w:r>
      <w:r>
        <w:br/>
      </w:r>
      <w:r>
        <w:rPr>
          <w:rStyle w:val="VerbatimChar"/>
        </w:rPr>
        <w:t xml:space="preserve">Total Year 1 Cost: $244K</w:t>
      </w:r>
      <w:r>
        <w:br/>
      </w:r>
      <w:r>
        <w:br/>
      </w:r>
      <w:r>
        <w:rPr>
          <w:rStyle w:val="VerbatimChar"/>
        </w:rPr>
        <w:t xml:space="preserve">Annual Benefits:</w:t>
      </w:r>
      <w:r>
        <w:br/>
      </w:r>
      <w:r>
        <w:rPr>
          <w:rStyle w:val="VerbatimChar"/>
        </w:rPr>
        <w:t xml:space="preserve">- Materials waste avoidance: $150K (vs. $200K waste from AI hallucinations)</w:t>
      </w:r>
      <w:r>
        <w:br/>
      </w:r>
      <w:r>
        <w:rPr>
          <w:rStyle w:val="VerbatimChar"/>
        </w:rPr>
        <w:t xml:space="preserve">- Throughput gain: $300K NPV (2-3x discovery acceleration × $500K annual lab budget efficiency)</w:t>
      </w:r>
      <w:r>
        <w:br/>
      </w:r>
      <w:r>
        <w:rPr>
          <w:rStyle w:val="VerbatimChar"/>
        </w:rPr>
        <w:t xml:space="preserve">- Safety risk mitigation: $100K (avoided lab evacuations, insurance premium reduction)</w:t>
      </w:r>
      <w:r>
        <w:br/>
      </w:r>
      <w:r>
        <w:rPr>
          <w:rStyle w:val="VerbatimChar"/>
        </w:rPr>
        <w:t xml:space="preserve">- Reproducibility value: Unquantified but critical (publication impact, funding renewal success)</w:t>
      </w:r>
      <w:r>
        <w:br/>
      </w:r>
      <w:r>
        <w:rPr>
          <w:rStyle w:val="VerbatimChar"/>
        </w:rPr>
        <w:t xml:space="preserve">Total Annual Benefit: $550K quantified + unquantified reproducibility/safety</w:t>
      </w:r>
      <w:r>
        <w:br/>
      </w:r>
      <w:r>
        <w:br/>
      </w:r>
      <w:r>
        <w:rPr>
          <w:rStyle w:val="VerbatimChar"/>
        </w:rPr>
        <w:t xml:space="preserve">Payback Period: 5-6 months</w:t>
      </w:r>
      <w:r>
        <w:br/>
      </w:r>
      <w:r>
        <w:rPr>
          <w:rStyle w:val="VerbatimChar"/>
        </w:rPr>
        <w:t xml:space="preserve">3-Year ROI: 580%</w:t>
      </w:r>
    </w:p>
    <w:p>
      <w:pPr>
        <w:pStyle w:val="FirstParagraph"/>
      </w:pPr>
      <w:r>
        <w:rPr>
          <w:b/>
          <w:bCs/>
        </w:rPr>
        <w:t xml:space="preserve">Funding Sources</w:t>
      </w:r>
      <w:r>
        <w:t xml:space="preserve"> </w:t>
      </w:r>
      <w:r>
        <w:t xml:space="preserve">(Critical for SDL Segment):</w:t>
      </w:r>
      <w:r>
        <w:t xml:space="preserve"> </w:t>
      </w:r>
      <w:r>
        <w:t xml:space="preserve">- Corporate: Capital budgets, R&amp;D allocations ($5M-$50M annually for materials/battery companies)</w:t>
      </w:r>
      <w:r>
        <w:t xml:space="preserve"> </w:t>
      </w:r>
      <w:r>
        <w:t xml:space="preserve">- National Labs: DOE grants ($2M-$10M per self-driving lab project from ARPA-E, EERE programs)</w:t>
      </w:r>
      <w:r>
        <w:t xml:space="preserve"> </w:t>
      </w:r>
      <w:r>
        <w:t xml:space="preserve">- Academic: NSF, DOE, DARPA grants (typically $500K-$3M over 3-5 years for major equipment/infrastructure)</w:t>
      </w:r>
    </w:p>
    <w:bookmarkEnd w:id="18"/>
    <w:bookmarkEnd w:id="19"/>
    <w:bookmarkStart w:id="20" w:name="geographic-and-segment-breakdown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Geographic and Segment Breakdown</w:t>
      </w:r>
    </w:p>
    <w:p>
      <w:pPr>
        <w:pStyle w:val="FirstParagraph"/>
      </w:pPr>
      <w:r>
        <w:rPr>
          <w:b/>
          <w:bCs/>
        </w:rPr>
        <w:t xml:space="preserve">Revenue by Geography (2034 SOM)</w:t>
      </w:r>
      <w:r>
        <w:t xml:space="preserve">:</w:t>
      </w:r>
      <w:r>
        <w:t xml:space="preserve"> </w:t>
      </w:r>
      <w:r>
        <w:t xml:space="preserve">| Region | SOM | % | Key Markets |</w:t>
      </w:r>
      <w:r>
        <w:t xml:space="preserve"> </w:t>
      </w:r>
      <w:r>
        <w:t xml:space="preserve">|——–|—–|—|————-|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North America</w:t>
      </w:r>
      <w:r>
        <w:t xml:space="preserve"> </w:t>
      </w:r>
      <w:r>
        <w:t xml:space="preserve">| $31M | 50% | U.S. pharma R&amp;D (New Jersey, Massachusetts, California clusters), clinical labs (Quest, LabCorp), university SDLs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Europe</w:t>
      </w:r>
      <w:r>
        <w:t xml:space="preserve"> </w:t>
      </w:r>
      <w:r>
        <w:t xml:space="preserve">| $19M | 30% | EU pharma (Switzerland, Germany, UK, France), regulatory compliance driven by EU AI Act August 2026 enforcement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Asia-Pacific</w:t>
      </w:r>
      <w:r>
        <w:t xml:space="preserve"> </w:t>
      </w:r>
      <w:r>
        <w:t xml:space="preserve">| $13M | 20% | China pharma manufacturing, Singapore research hubs, Japan precision instrumentation market |</w:t>
      </w:r>
    </w:p>
    <w:p>
      <w:pPr>
        <w:pStyle w:val="BodyText"/>
      </w:pPr>
      <w:r>
        <w:rPr>
          <w:b/>
          <w:bCs/>
        </w:rPr>
        <w:t xml:space="preserve">Revenue by Customer Segment (2034 SOM)</w:t>
      </w:r>
      <w:r>
        <w:t xml:space="preserve">:</w:t>
      </w:r>
      <w:r>
        <w:t xml:space="preserve"> </w:t>
      </w:r>
      <w:r>
        <w:t xml:space="preserve">| Segment | SOM | % | Customer Count | Avg CLV | Sales Cycle | Premium |</w:t>
      </w:r>
      <w:r>
        <w:t xml:space="preserve"> </w:t>
      </w:r>
      <w:r>
        <w:t xml:space="preserve">|———|—–|—|—————-|———|————-|———|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Pharmaceutical R&amp;D</w:t>
      </w:r>
      <w:r>
        <w:t xml:space="preserve"> </w:t>
      </w:r>
      <w:r>
        <w:t xml:space="preserve">| $28M | 45% | 50-60 | $445K | 12-24 mo | 40-50%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Clinical Laboratories</w:t>
      </w:r>
      <w:r>
        <w:t xml:space="preserve"> </w:t>
      </w:r>
      <w:r>
        <w:t xml:space="preserve">| $16M | 25% | 60-80 | $580K | 9-18 mo | 30-40%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Biotech Research</w:t>
      </w:r>
      <w:r>
        <w:t xml:space="preserve"> </w:t>
      </w:r>
      <w:r>
        <w:t xml:space="preserve">| $12M | 20% | 35-50 | $390K | 9-15 mo | 30-35%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Materials Science / SDL</w:t>
      </w:r>
      <w:r>
        <w:t xml:space="preserve"> </w:t>
      </w:r>
      <w:r>
        <w:t xml:space="preserve">| $6M | 10% | 12-20 | $500K-$1M | 6-12 mo | 25-35% |</w:t>
      </w:r>
    </w:p>
    <w:p>
      <w:pPr>
        <w:pStyle w:val="BodyText"/>
      </w:pPr>
      <w:r>
        <w:rPr>
          <w:b/>
          <w:bCs/>
        </w:rPr>
        <w:t xml:space="preserve">Growth Rate by Segment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t xml:space="preserve">Materials Science / SDL:</w:t>
      </w:r>
      <w:r>
        <w:t xml:space="preserve"> </w:t>
      </w:r>
      <w:r>
        <w:rPr>
          <w:b/>
          <w:bCs/>
        </w:rPr>
        <w:t xml:space="preserve">35-40% CAGR</w:t>
      </w:r>
      <w:r>
        <w:t xml:space="preserve"> </w:t>
      </w:r>
      <w:r>
        <w:t xml:space="preserve">(fastest growth, commercialization of academic SDL prototypes)</w:t>
      </w:r>
    </w:p>
    <w:p>
      <w:pPr>
        <w:pStyle w:val="Compact"/>
        <w:numPr>
          <w:ilvl w:val="0"/>
          <w:numId w:val="1029"/>
        </w:numPr>
      </w:pPr>
      <w:r>
        <w:t xml:space="preserve">Pharmaceutical R&amp;D:</w:t>
      </w:r>
      <w:r>
        <w:t xml:space="preserve"> </w:t>
      </w:r>
      <w:r>
        <w:rPr>
          <w:b/>
          <w:bCs/>
        </w:rPr>
        <w:t xml:space="preserve">18-22% CAGR</w:t>
      </w:r>
      <w:r>
        <w:t xml:space="preserve"> </w:t>
      </w:r>
      <w:r>
        <w:t xml:space="preserve">(driven by EU AI Act compliance urgency, patent cliff pressure)</w:t>
      </w:r>
    </w:p>
    <w:p>
      <w:pPr>
        <w:pStyle w:val="Compact"/>
        <w:numPr>
          <w:ilvl w:val="0"/>
          <w:numId w:val="1029"/>
        </w:numPr>
      </w:pPr>
      <w:r>
        <w:t xml:space="preserve">Biotech:</w:t>
      </w:r>
      <w:r>
        <w:t xml:space="preserve"> </w:t>
      </w:r>
      <w:r>
        <w:rPr>
          <w:b/>
          <w:bCs/>
        </w:rPr>
        <w:t xml:space="preserve">20-25% CAGR</w:t>
      </w:r>
      <w:r>
        <w:t xml:space="preserve"> </w:t>
      </w:r>
      <w:r>
        <w:t xml:space="preserve">(VC funding cycles, clinical-stage companies scaling GMP capabilities)</w:t>
      </w:r>
    </w:p>
    <w:p>
      <w:pPr>
        <w:pStyle w:val="Compact"/>
        <w:numPr>
          <w:ilvl w:val="0"/>
          <w:numId w:val="1029"/>
        </w:numPr>
      </w:pPr>
      <w:r>
        <w:t xml:space="preserve">Clinical Labs:</w:t>
      </w:r>
      <w:r>
        <w:t xml:space="preserve"> </w:t>
      </w:r>
      <w:r>
        <w:rPr>
          <w:b/>
          <w:bCs/>
        </w:rPr>
        <w:t xml:space="preserve">12-15% CAGR</w:t>
      </w:r>
      <w:r>
        <w:t xml:space="preserve"> </w:t>
      </w:r>
      <w:r>
        <w:t xml:space="preserve">(stable demand, labor shortage driving automation, reimbursement pressure limiting growth)</w:t>
      </w:r>
    </w:p>
    <w:bookmarkEnd w:id="20"/>
    <w:bookmarkStart w:id="24" w:name="market-trends-and-dynamics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Market Trends and Dynamics</w:t>
      </w:r>
    </w:p>
    <w:p>
      <w:pPr>
        <w:pStyle w:val="FirstParagraph"/>
      </w:pPr>
      <w:r>
        <w:rPr>
          <w:b/>
          <w:bCs/>
        </w:rPr>
        <w:t xml:space="preserve">Mega-Trend 1: Self-Driving Labs (SDL) Commercialization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Growth</w:t>
      </w:r>
      <w:r>
        <w:t xml:space="preserve">: Virtual and remote laboratories $1.32B (2024) → $3.11B (2033), 10% CAGR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Maturation</w:t>
      </w:r>
      <w:r>
        <w:t xml:space="preserve">: Academic publications on SDL increased 10x from 2015 to 2024; cost reduction (3D printing, open-source hardware) lowering barriers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Drivers</w:t>
      </w:r>
      <w:r>
        <w:t xml:space="preserve">: DOE investment ($100M+ in autonomous experimentation initiatives), private sector (Recursion Pharmaceuticals acquired Strateos for drug discovery SDL), materials science (batteries, catalysts requiring rapid iteration)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SRS Opportunity</w:t>
      </w:r>
      <w:r>
        <w:t xml:space="preserve">: Verified AI is</w:t>
      </w:r>
      <w:r>
        <w:t xml:space="preserve"> </w:t>
      </w:r>
      <w:r>
        <w:rPr>
          <w:b/>
          <w:bCs/>
        </w:rPr>
        <w:t xml:space="preserve">critical enabler</w:t>
      </w:r>
      <w:r>
        <w:t xml:space="preserve"> </w:t>
      </w:r>
      <w:r>
        <w:t xml:space="preserve">for SDL autonomous operation—hallucination risk too high for unverified AI to run unsupervised</w:t>
      </w:r>
    </w:p>
    <w:p>
      <w:pPr>
        <w:pStyle w:val="BodyText"/>
      </w:pPr>
      <w:r>
        <w:rPr>
          <w:b/>
          <w:bCs/>
        </w:rPr>
        <w:t xml:space="preserve">Mega-Trend 2: Digital Twins for Laboratory Instruments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Growth</w:t>
      </w:r>
      <w:r>
        <w:t xml:space="preserve">: Global digital twin market $17-25B (2024) → $150-259B (2032), 40% CAGR [Fortune Business Insights, Grand View Research]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Laboratory Applications</w:t>
      </w:r>
      <w:r>
        <w:t xml:space="preserve">: (1) Instrument digital twins for predictive maintenance, (2) Process digital twins for in-silico method development, (3) Laboratory digital twins for workflow simulation and capacity planning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Proposition</w:t>
      </w:r>
      <w:r>
        <w:t xml:space="preserve">: Reduce method development time 50-70% (weeks → days), improve method transfer success rate 60-70% → 90%+, optimize laboratory throughput 10-20% via bottleneck elimination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SRS Opportunity</w:t>
      </w:r>
      <w:r>
        <w:t xml:space="preserve">: Verified AI ensures digital twin predictions trustworthy (no hallucinated simulations) and enables closed-loop optimization (digital twin suggests parameter changes → verified AI validates feasibility → apply to physical instrument)</w:t>
      </w:r>
    </w:p>
    <w:p>
      <w:pPr>
        <w:pStyle w:val="BodyText"/>
      </w:pPr>
      <w:r>
        <w:rPr>
          <w:b/>
          <w:bCs/>
        </w:rPr>
        <w:t xml:space="preserve">Mega-Trend 3: AI-Guided Research (Bayesian Optimization, Generative Models)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Growth</w:t>
      </w:r>
      <w:r>
        <w:t xml:space="preserve">: AI in pharma and biotech $1.8B (2023) → $16.5B (2034), 27% CAGR [Fortune Business Insights]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Techniques</w:t>
      </w:r>
      <w:r>
        <w:t xml:space="preserve">: Bayesian optimization (10-100x fewer experiments than grid search for reaction optimization), active learning (prioritize experiments to maximize model improvement), generative models (AI-designed molecules, e.g., Insilico Medicine’s AI drugs in Phase II/III trials)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 with Lab Automation</w:t>
      </w:r>
      <w:r>
        <w:t xml:space="preserve">: Closed-loop workflows (AI proposes experiment → robotic execution → SRS verified instrument analyzes → AI updates model → repeat)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SRS Opportunity</w:t>
      </w:r>
      <w:r>
        <w:t xml:space="preserve">: Verified AI for both (1) experimental design (prove AI-suggested conditions are chemically/physically feasible) and (2) result interpretation (prove AI peak identification/quantification correct)</w:t>
      </w:r>
    </w:p>
    <w:p>
      <w:pPr>
        <w:pStyle w:val="BodyText"/>
      </w:pPr>
      <w:r>
        <w:rPr>
          <w:b/>
          <w:bCs/>
        </w:rPr>
        <w:t xml:space="preserve">Mega-Trend 4: Regulatory Compliance Automation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Growth</w:t>
      </w:r>
      <w:r>
        <w:t xml:space="preserve">: GxP regulation testing market $13.98B (2023) → $20-28B (2031-2033), 10.3% CAGR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 Drivers</w:t>
      </w:r>
      <w:r>
        <w:t xml:space="preserve">: EU AI Act (August 2026 enforcement), FDA AI/ML guidance (final 2025-2026), increasing scrutiny of data integrity (FDA Warning Letters for ALCOA+ violations up 30% from 2020-2024)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 Cost Burden</w:t>
      </w:r>
      <w:r>
        <w:t xml:space="preserve">: System validation $150K-$400K per instrument, audit preparation $50K-$200K per cycle, remediation $50K-$500K per finding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SRS Opportunity</w:t>
      </w:r>
      <w:r>
        <w:t xml:space="preserve">: Pre-validated AI modules and built-in EU AI Act conformity reduce customer compliance burden by 60-80%, creating $200K-$500K value per installation</w:t>
      </w:r>
    </w:p>
    <w:p>
      <w:pPr>
        <w:pStyle w:val="BodyText"/>
      </w:pPr>
      <w:r>
        <w:rPr>
          <w:b/>
          <w:bCs/>
        </w:rPr>
        <w:t xml:space="preserve">Mega-Trend 5: Lab-as-a-Service (LaaS) and Remote Experimentation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Growth</w:t>
      </w:r>
      <w:r>
        <w:t xml:space="preserve">: Virtual lab software $1.5B (2024) → $3.8B (2033), 10.5% CAGR; laboratory informatics (cloud-based) $3.82B (2024) → $6.17B (2030), 8.31% CAGR with cloud subsegment growing 13.4% CAGR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Models</w:t>
      </w:r>
      <w:r>
        <w:t xml:space="preserve">: Cloud lab platforms (Emerald Cloud Lab, Strateos/Recursion), remote instrument access (national user facilities, university core facilities), virtual labs (education and simulation)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SRS Opportunity</w:t>
      </w:r>
      <w:r>
        <w:t xml:space="preserve">: Cloud-connected SRS instruments with verified AI enable trust for remote/autonomous operation (remote users trust AI-verified results without being physically present)</w:t>
      </w:r>
    </w:p>
    <w:p>
      <w:pPr>
        <w:pStyle w:val="BodyText"/>
      </w:pPr>
      <w:r>
        <w:rPr>
          <w:b/>
          <w:bCs/>
        </w:rPr>
        <w:t xml:space="preserve">Mega-Trend 6: IoT and Edge Computing for Predictive Maintenance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Growth</w:t>
      </w:r>
      <w:r>
        <w:t xml:space="preserve">: Predictive maintenance $5.7B (2024) → $49B (2032), 28% CAGR; edge computing in industrial applications 18.2% CAGR through 2030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Architecture</w:t>
      </w:r>
      <w:r>
        <w:t xml:space="preserve">: IoT sensors (accelerometers, thermistors, current sensors) → Edge AI (NVIDIA Jetson, Google Coral for real-time inference) → Cloud platform (fleet analytics, model training)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Proposition</w:t>
      </w:r>
      <w:r>
        <w:t xml:space="preserve">: Reduce unplanned downtime 5-8% → 1-2% ($200K-$500K annually for high-volume clinical lab instrument), maintenance cost savings 30-50% (predictive vs. reactive), consumable optimization 20-30% (replace based on actual wear, not fixed schedules)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SRS Opportunity</w:t>
      </w:r>
      <w:r>
        <w:t xml:space="preserve">: Verified edge AI ensures predictive maintenance recommendations trustworthy (no false alarms causing unnecessary service calls, no missed failures causing unplanned downtime)</w:t>
      </w:r>
    </w:p>
    <w:p>
      <w:pPr>
        <w:pStyle w:val="BodyText"/>
      </w:pPr>
      <w:r>
        <w:rPr>
          <w:b/>
          <w:bCs/>
        </w:rPr>
        <w:t xml:space="preserve">Technology Convergence</w:t>
      </w:r>
      <w:r>
        <w:t xml:space="preserve">: These six mega-trends are not independent but form mutually reinforcing ecosystem where</w:t>
      </w:r>
      <w:r>
        <w:t xml:space="preserve"> </w:t>
      </w:r>
      <w:r>
        <w:rPr>
          <w:b/>
          <w:bCs/>
        </w:rPr>
        <w:t xml:space="preserve">verified AI sits at the center</w:t>
      </w:r>
      <w:r>
        <w:t xml:space="preserve"> </w:t>
      </w:r>
      <w:r>
        <w:t xml:space="preserve">enabling multiple trends simultaneously:</w:t>
      </w:r>
      <w:r>
        <w:t xml:space="preserve"> </w:t>
      </w:r>
      <w:r>
        <w:t xml:space="preserve">- Self-driving labs require verified AI for autonomous operation (hallucination risk too high otherwise)</w:t>
      </w:r>
      <w:r>
        <w:t xml:space="preserve"> </w:t>
      </w:r>
      <w:r>
        <w:t xml:space="preserve">- Digital twins need verified AI to ensure simulations accurately represent physical systems</w:t>
      </w:r>
      <w:r>
        <w:t xml:space="preserve"> </w:t>
      </w:r>
      <w:r>
        <w:t xml:space="preserve">- AI-guided research requires verification to trust Bayesian optimization and generative model outputs</w:t>
      </w:r>
      <w:r>
        <w:t xml:space="preserve"> </w:t>
      </w:r>
      <w:r>
        <w:t xml:space="preserve">- Regulatory compliance mandates verification under EU AI Act and FDA AI/ML guidance</w:t>
      </w:r>
      <w:r>
        <w:t xml:space="preserve"> </w:t>
      </w:r>
      <w:r>
        <w:t xml:space="preserve">- Lab-as-a-Service depends on verified AI for remote users to trust autonomous operation</w:t>
      </w:r>
      <w:r>
        <w:t xml:space="preserve"> </w:t>
      </w:r>
      <w:r>
        <w:t xml:space="preserve">- IoT/Edge AI requires verification for predictive maintenance and real-time QC decisions</w:t>
      </w:r>
    </w:p>
    <w:p>
      <w:pPr>
        <w:pStyle w:val="BodyText"/>
      </w:pPr>
      <w:r>
        <w:drawing>
          <wp:inline>
            <wp:extent cx="5334000" cy="1394732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tmp/mermaid-diagrams/a1ac5fab7a1865e84a585d6e17ac369a615de5e8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technical-feasibility-assessment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Technical Feasibility Assessment</w:t>
      </w:r>
    </w:p>
    <w:bookmarkStart w:id="30" w:name="technology-readiness-level-trl-analysi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Technology Readiness Level (TRL) Analysis</w:t>
      </w:r>
    </w:p>
    <w:p>
      <w:pPr>
        <w:pStyle w:val="FirstParagraph"/>
      </w:pPr>
      <w:r>
        <w:rPr>
          <w:b/>
          <w:bCs/>
        </w:rPr>
        <w:t xml:space="preserve">Overall TRL Assessment</w:t>
      </w:r>
      <w:r>
        <w:t xml:space="preserve">:</w:t>
      </w:r>
      <w:r>
        <w:t xml:space="preserve"> </w:t>
      </w:r>
      <w:r>
        <w:rPr>
          <w:b/>
          <w:bCs/>
        </w:rPr>
        <w:t xml:space="preserve">TRL 6-7</w:t>
      </w:r>
      <w:r>
        <w:t xml:space="preserve"> </w:t>
      </w:r>
      <w:r>
        <w:t xml:space="preserve">(Technology demonstrated in relevant environment, approaching operational prototype)</w:t>
      </w:r>
    </w:p>
    <w:p>
      <w:pPr>
        <w:pStyle w:val="BodyText"/>
      </w:pPr>
      <w:r>
        <w:rPr>
          <w:b/>
          <w:bCs/>
        </w:rPr>
        <w:t xml:space="preserve">Component-Level TRL</w:t>
      </w:r>
      <w:r>
        <w:t xml:space="preserve">:</w:t>
      </w:r>
    </w:p>
    <w:bookmarkStart w:id="26" w:name="formal-verification-hupyy-ai-trl-7-8"/>
    <w:p>
      <w:pPr>
        <w:pStyle w:val="Heading4"/>
      </w:pPr>
      <w:r>
        <w:rPr>
          <w:rStyle w:val="SectionNumber"/>
        </w:rPr>
        <w:t xml:space="preserve">1.5.1.1</w:t>
      </w:r>
      <w:r>
        <w:tab/>
      </w:r>
      <w:r>
        <w:t xml:space="preserve">Formal Verification (Hupyy AI): TRL 7-8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Status</w:t>
      </w:r>
      <w:r>
        <w:t xml:space="preserve">: Production-ready for safety-critical embedded AI systems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Heritage</w:t>
      </w:r>
      <w:r>
        <w:t xml:space="preserve">: 20+ years academic research (MIT, CMU, Stanford) in aerospace (Boeing 777 flight control software verification), automotive (ISO 26262 ASIL-D autonomous vehicle safety), medical devices (FDA-approved AI diagnostic algorithms)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Hupyy Commercialization</w:t>
      </w:r>
      <w:r>
        <w:t xml:space="preserve">: Hupyy has successfully deployed formal verification in medical devices and autonomous systems; laboratory instruments represent application of proven technology to new domain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Technical Approach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Theorem Proving</w:t>
      </w:r>
      <w:r>
        <w:t xml:space="preserve">: Mathematical proof that AI neural network behavior conforms to formal specification for all inputs in defined domain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Model Checking</w:t>
      </w:r>
      <w:r>
        <w:t xml:space="preserve">: Exhaustive state-space exploration to verify AI decision logic against safety properties (e.g.,</w:t>
      </w:r>
      <w:r>
        <w:t xml:space="preserve"> </w:t>
      </w:r>
      <w:r>
        <w:t xml:space="preserve">“AI shall never command unsafe robot action”</w:t>
      </w:r>
      <w:r>
        <w:t xml:space="preserve">)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Symbolic Execution</w:t>
      </w:r>
      <w:r>
        <w:t xml:space="preserve">: Analyze neural network layer-by-layer using constraint solvers to prove output bounds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Strengths</w:t>
      </w:r>
      <w:r>
        <w:t xml:space="preserve">: Mathematically rigorous (provides provable correctness, not statistical confidence), scalable to complex AI models (verified CNNs with 100,000+ parameters), regulatory-aligned (EU AI Act Article 43 conformity assessment expects formal verification for high-risk AI)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Weaknesses</w:t>
      </w:r>
      <w:r>
        <w:t xml:space="preserve">: Verification complexity scales with AI model size (larger networks require more computation time for proof generation); limited production deployments in laboratory instruments (mostly aerospace/medical device heritage)</w:t>
      </w:r>
    </w:p>
    <w:bookmarkEnd w:id="26"/>
    <w:bookmarkStart w:id="27" w:name="smart-instrument-integration-trl-6-7"/>
    <w:p>
      <w:pPr>
        <w:pStyle w:val="Heading4"/>
      </w:pPr>
      <w:r>
        <w:rPr>
          <w:rStyle w:val="SectionNumber"/>
        </w:rPr>
        <w:t xml:space="preserve">1.5.1.2</w:t>
      </w:r>
      <w:r>
        <w:tab/>
      </w:r>
      <w:r>
        <w:t xml:space="preserve">Smart Instrument Integration: TRL 6-7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Status</w:t>
      </w:r>
      <w:r>
        <w:t xml:space="preserve">: Technology validated in relevant environment (SRS has 40-year heritage in precision instrumentation, but firmware-embedded AI is new)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IoT Sensor Integration</w:t>
      </w:r>
      <w:r>
        <w:t xml:space="preserve">: TRL 8 (mature technology)</w:t>
      </w:r>
    </w:p>
    <w:p>
      <w:pPr>
        <w:pStyle w:val="Compact"/>
        <w:numPr>
          <w:ilvl w:val="1"/>
          <w:numId w:val="1033"/>
        </w:numPr>
      </w:pPr>
      <w:r>
        <w:t xml:space="preserve">Industrial-grade sensors widely available (accelerometers: Analog Devices ADXL355, thermistors: NTC 10K, current sensors: Allegro ACS712)</w:t>
      </w:r>
    </w:p>
    <w:p>
      <w:pPr>
        <w:pStyle w:val="Compact"/>
        <w:numPr>
          <w:ilvl w:val="1"/>
          <w:numId w:val="1033"/>
        </w:numPr>
      </w:pPr>
      <w:r>
        <w:t xml:space="preserve">Data acquisition: 1-10 MB/day per instrument (manageable bandwidth)</w:t>
      </w:r>
    </w:p>
    <w:p>
      <w:pPr>
        <w:pStyle w:val="Compact"/>
        <w:numPr>
          <w:ilvl w:val="1"/>
          <w:numId w:val="1033"/>
        </w:numPr>
      </w:pPr>
      <w:r>
        <w:t xml:space="preserve">Edge computing hardware capable: NVIDIA Jetson Nano ($100, 472 GFLOPS), Google Coral Edge TPU ($60, 4 TOPS), Intel Movidius (integrated in many instruments)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Firmware-Embedded Verification</w:t>
      </w:r>
      <w:r>
        <w:t xml:space="preserve">: TRL 6 (demonstrated in lab, not production)</w:t>
      </w:r>
    </w:p>
    <w:p>
      <w:pPr>
        <w:pStyle w:val="Compact"/>
        <w:numPr>
          <w:ilvl w:val="1"/>
          <w:numId w:val="1034"/>
        </w:numPr>
      </w:pPr>
      <w:r>
        <w:t xml:space="preserve">Challenge: Integrate Hupyy verification engine into SRS instrument controller firmware (real-time operating system: VxWorks, FreeRTOS, or Linux RT)</w:t>
      </w:r>
    </w:p>
    <w:p>
      <w:pPr>
        <w:pStyle w:val="Compact"/>
        <w:numPr>
          <w:ilvl w:val="1"/>
          <w:numId w:val="1034"/>
        </w:numPr>
      </w:pPr>
      <w:r>
        <w:t xml:space="preserve">Latency requirement: Verification proof generation must complete within 1-10ms for closed-loop control (vs. 50-200ms acceptable for batch processing)</w:t>
      </w:r>
    </w:p>
    <w:p>
      <w:pPr>
        <w:pStyle w:val="Compact"/>
        <w:numPr>
          <w:ilvl w:val="1"/>
          <w:numId w:val="1034"/>
        </w:numPr>
      </w:pPr>
      <w:r>
        <w:t xml:space="preserve">Memory footprint: Verification engine + AI model must fit in embedded controller RAM (typically 512MB-2GB available)</w:t>
      </w:r>
    </w:p>
    <w:p>
      <w:pPr>
        <w:pStyle w:val="Compact"/>
        <w:numPr>
          <w:ilvl w:val="1"/>
          <w:numId w:val="1034"/>
        </w:numPr>
      </w:pPr>
      <w:r>
        <w:t xml:space="preserve">Development timeline: 12-18 months estimated for first instrument type (lock-in amplifier), 6-9 months for subsequent types (learning curve benefits)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Digital Twin Modeling</w:t>
      </w:r>
      <w:r>
        <w:t xml:space="preserve">: TRL 5 (validated in lab environment)</w:t>
      </w:r>
    </w:p>
    <w:p>
      <w:pPr>
        <w:pStyle w:val="Compact"/>
        <w:numPr>
          <w:ilvl w:val="1"/>
          <w:numId w:val="1035"/>
        </w:numPr>
      </w:pPr>
      <w:r>
        <w:t xml:space="preserve">Physics-based simulation models exist for some instrument types (chromatography: thermodynamic retention models; mass spectrometry: ion trajectory simulation) but not all (lock-in amplifiers, spectroscopy require development)</w:t>
      </w:r>
    </w:p>
    <w:p>
      <w:pPr>
        <w:pStyle w:val="Compact"/>
        <w:numPr>
          <w:ilvl w:val="1"/>
          <w:numId w:val="1035"/>
        </w:numPr>
      </w:pPr>
      <w:r>
        <w:t xml:space="preserve">SRS must develop digital twins for instrument portfolio (partnership with simulation software vendors like COMSOL, Ansys recommended)</w:t>
      </w:r>
    </w:p>
    <w:p>
      <w:pPr>
        <w:pStyle w:val="Compact"/>
        <w:numPr>
          <w:ilvl w:val="1"/>
          <w:numId w:val="1035"/>
        </w:numPr>
      </w:pPr>
      <w:r>
        <w:t xml:space="preserve">Timeline: 12-18 months per instrument type for high-fidelity digital twin</w:t>
      </w:r>
    </w:p>
    <w:bookmarkEnd w:id="27"/>
    <w:bookmarkStart w:id="28" w:name="limseln-integration-trl-5-6"/>
    <w:p>
      <w:pPr>
        <w:pStyle w:val="Heading4"/>
      </w:pPr>
      <w:r>
        <w:rPr>
          <w:rStyle w:val="SectionNumber"/>
        </w:rPr>
        <w:t xml:space="preserve">1.5.1.3</w:t>
      </w:r>
      <w:r>
        <w:tab/>
      </w:r>
      <w:r>
        <w:t xml:space="preserve">LIMS/ELN Integration: TRL 5-6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Status</w:t>
      </w:r>
      <w:r>
        <w:t xml:space="preserve">: Technology validated in relevant environment (standard integration protocols exist, but verified AI metadata not standard in LIMS schemas)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Integration Protocols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Clinical Labs</w:t>
      </w:r>
      <w:r>
        <w:t xml:space="preserve">: HL7 v2.x, FHIR (Fast Healthcare Interoperability Resources) for LIS (Laboratory Information Systems like Sunquest, Epic Beaker, Cerner)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Pharma/Biotech</w:t>
      </w:r>
      <w:r>
        <w:t xml:space="preserve">: Proprietary APIs for LIMS (Agilent OpenLab CDS/ECM, Thermo SampleManager, PerkinElmer Signals Notebook), some SiLA (Standardization in Lab Automation) support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Bidirectional Integration Complexity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LIMS → SRS</w:t>
      </w:r>
      <w:r>
        <w:t xml:space="preserve">: LIMS schedules analyses, sends sample metadata (sample ID, test type, acceptance criteria) → SRS instrument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SRS → LIMS</w:t>
      </w:r>
      <w:r>
        <w:t xml:space="preserve">: SRS completes analysis, sends verified results + verification provenance metadata (which AI model version, verification proof hash, decision logic explanation) → LIMS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Challenge</w:t>
      </w:r>
      <w:r>
        <w:t xml:space="preserve">: LIMS schemas not designed for verification metadata; custom extensions required (JSON metadata fields, XML verification certificate attachments)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Development Timeline</w:t>
      </w:r>
      <w:r>
        <w:t xml:space="preserve">: 6-12 months per LIMS platform (varies by vendor cooperation: Agilent/PerkinElmer more open, Thermo Fisher more proprietary)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Priority Sequence</w:t>
      </w:r>
      <w:r>
        <w:t xml:space="preserve">: (1) Agilent OpenLab (largest pharma installed base), (2) Thermo SampleManager (integrated with Thermo instruments), (3) PerkinElmer Signals (cloud-native, API-first architecture easier to integrate)</w:t>
      </w:r>
    </w:p>
    <w:bookmarkEnd w:id="28"/>
    <w:bookmarkStart w:id="29" w:name="self-driving-lab-integration-trl-4-5"/>
    <w:p>
      <w:pPr>
        <w:pStyle w:val="Heading4"/>
      </w:pPr>
      <w:r>
        <w:rPr>
          <w:rStyle w:val="SectionNumber"/>
        </w:rPr>
        <w:t xml:space="preserve">1.5.1.4</w:t>
      </w:r>
      <w:r>
        <w:tab/>
      </w:r>
      <w:r>
        <w:t xml:space="preserve">Self-Driving Lab Integration: TRL 4-5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</w:t>
      </w:r>
      <w:r>
        <w:t xml:space="preserve">: Technology validated in lab environment (SDL platforms provide integration points, but verified AI integration not demonstrated at production scale)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SDL Platform Landscape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Acceleration Consortium</w:t>
      </w:r>
      <w:r>
        <w:t xml:space="preserve"> </w:t>
      </w:r>
      <w:r>
        <w:t xml:space="preserve">(U Toronto): Open-source tools, academic focus, SiLA protocol support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Emerald Cloud Lab</w:t>
      </w:r>
      <w:r>
        <w:t xml:space="preserve">: Commercial cloud lab, RESTful API for instrument control, Python SDK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Strateos</w:t>
      </w:r>
      <w:r>
        <w:t xml:space="preserve"> </w:t>
      </w:r>
      <w:r>
        <w:t xml:space="preserve">(now Recursion Pharmaceuticals): Acquired for drug discovery, integration uncertain post-acquisition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Synthace</w:t>
      </w:r>
      <w:r>
        <w:t xml:space="preserve">: Cloud-based experiment design platform, partners with contract labs for execution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Closed-Loop AI-Guided Experimentation</w:t>
      </w:r>
      <w:r>
        <w:t xml:space="preserve">: TRL 4 (basic technology demonstration)</w:t>
      </w:r>
    </w:p>
    <w:p>
      <w:pPr>
        <w:pStyle w:val="Compact"/>
        <w:numPr>
          <w:ilvl w:val="1"/>
          <w:numId w:val="1041"/>
        </w:numPr>
      </w:pPr>
      <w:r>
        <w:t xml:space="preserve">Workflow: Bayesian optimization AI → SRS instrument analyzes sample → Verified AI interprets results → Bayesian optimization updates model → Repeat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Challenge</w:t>
      </w:r>
      <w:r>
        <w:t xml:space="preserve">: Safety interlocks for autonomous operation (verified AI must prevent unsafe robot commands: overfilling, incompatible reagent mixing, exceeding temperature/pressure limits)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Risk</w:t>
      </w:r>
      <w:r>
        <w:t xml:space="preserve">: No production SDL deployments with formally verified AI (SRS would be first)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Development Timeline</w:t>
      </w:r>
      <w:r>
        <w:t xml:space="preserve">: 18-24 months for production-ready SDL integration (requires extensive safety testing, validation with SDL platform partners)</w:t>
      </w:r>
    </w:p>
    <w:bookmarkEnd w:id="29"/>
    <w:bookmarkEnd w:id="30"/>
    <w:bookmarkStart w:id="31" w:name="team-capability-assessment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Team Capability Assessment</w:t>
      </w:r>
    </w:p>
    <w:p>
      <w:pPr>
        <w:pStyle w:val="FirstParagraph"/>
      </w:pPr>
      <w:r>
        <w:rPr>
          <w:b/>
          <w:bCs/>
        </w:rPr>
        <w:t xml:space="preserve">SRS Strengths (Existing Capabilities)</w:t>
      </w:r>
      <w:r>
        <w:t xml:space="preserve">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40-Year Instrumentation Heritage</w:t>
      </w:r>
      <w:r>
        <w:t xml:space="preserve">: Deep expertise in precision measurement, lock-in amplifiers (industry-leading noise performance: 1 nV/√Hz), signal recovery, data acquisition systems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Embedded Firmware Expertise</w:t>
      </w:r>
      <w:r>
        <w:t xml:space="preserve">: SRS instruments use sophisticated real-time control systems (16-bit/32-bit microcontrollers, FPGA-based signal processing), ideal foundation for embedded AI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Regulatory Experience</w:t>
      </w:r>
      <w:r>
        <w:t xml:space="preserve">: Some SRS products in clinical use (medical device background provides FDA/ISO 13485 familiarity, though not comprehensive GMP experience)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Customer Relationships</w:t>
      </w:r>
      <w:r>
        <w:t xml:space="preserve">: Established presence in pharmaceutical and academic research (shorter sales cycles vs. unknown startup, existing distribution channels)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Manufacturing Scale</w:t>
      </w:r>
      <w:r>
        <w:t xml:space="preserve">: SRS manufacturing facilities in Sunnyvale, CA capable of production scaling (current volume: 10,000-20,000 units/year, can scale to 50,000+ with investment)</w:t>
      </w:r>
    </w:p>
    <w:p>
      <w:pPr>
        <w:pStyle w:val="FirstParagraph"/>
      </w:pPr>
      <w:r>
        <w:rPr>
          <w:b/>
          <w:bCs/>
        </w:rPr>
        <w:t xml:space="preserve">SRS Capability Gaps (Require Development)</w:t>
      </w:r>
      <w:r>
        <w:t xml:space="preserve">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Formal Verification Expertise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Gap</w:t>
      </w:r>
      <w:r>
        <w:t xml:space="preserve">: SRS lacks in-house formal methods PhDs (dependent on Hupyy partnership for core IP)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Risk</w:t>
      </w:r>
      <w:r>
        <w:t xml:space="preserve">: Hupyy dependency creates single point of failure if partnership deteriorates or Hupyy acquired by competitor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Mitigation</w:t>
      </w:r>
      <w:r>
        <w:t xml:space="preserve">: Hire 2-3 formal verification engineers (PhD from MIT, CMU, Stanford; typical comp $300K-$450K annually) to build internal capability by 2026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Timeline</w:t>
      </w:r>
      <w:r>
        <w:t xml:space="preserve">: 12-18 months to recruit and onboard (formal verification talent pool limited, competitive with tech giants and defense contractors)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AI/ML Development</w:t>
      </w:r>
      <w:r>
        <w:t xml:space="preserve">: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Gap</w:t>
      </w:r>
      <w:r>
        <w:t xml:space="preserve">: SRS not historically an AI company (unlike Agilent Data Science Group, Keysight PathWave AI team with 50+ AI engineers)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Mitigation</w:t>
      </w:r>
      <w:r>
        <w:t xml:space="preserve">: Hupyy partnership provides AI expertise; SRS focuses on instrument integration rather than AI algorithm development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Hiring</w:t>
      </w:r>
      <w:r>
        <w:t xml:space="preserve">: 3-5 AI/ML engineers for model development, edge deployment, performance optimization ($250K-$400K annual comp)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LIMS/Laboratory Informatics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Gap</w:t>
      </w:r>
      <w:r>
        <w:t xml:space="preserve">: SRS primarily hardware-focused, limited software services background (unlike PerkinElmer Informatics with 500+ software engineers, Thermo Fisher Informatics division)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Challenge</w:t>
      </w:r>
      <w:r>
        <w:t xml:space="preserve">: Integrating with Agilent OpenLab, Thermo SampleManager requires software engineering skills SRS may lack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Mitigation</w:t>
      </w:r>
      <w:r>
        <w:t xml:space="preserve">: (1) Hire 5-8 software integration engineers ($200K-$300K comp), (2) Partner with system integrators (Accenture, Cognizant for pharma IT projects), or (3) Acquire small software consultancy specializing in LIMS integration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Timeline</w:t>
      </w:r>
      <w:r>
        <w:t xml:space="preserve">: 6-12 months to build team or establish partnerships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Regulatory Affairs (AI-Specific)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Gap</w:t>
      </w:r>
      <w:r>
        <w:t xml:space="preserve">: SRS has regulatory affairs team for traditional medical devices, but EU AI Act and FDA AI/ML guidance require specialized expertise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Mitigation</w:t>
      </w:r>
      <w:r>
        <w:t xml:space="preserve">: Hire 2-3 regulatory affairs specialists with AI background ($180K-$250K comp) and engage external consultants (Emergo, RegDesk for EU AI Act; Barnett International, Greenlight Guru for FDA AI/ML)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Investment</w:t>
      </w:r>
      <w:r>
        <w:t xml:space="preserve">: $300K-$500K in external consulting over 2025-2027</w:t>
      </w:r>
    </w:p>
    <w:p>
      <w:pPr>
        <w:pStyle w:val="FirstParagraph"/>
      </w:pPr>
      <w:r>
        <w:rPr>
          <w:b/>
          <w:bCs/>
        </w:rPr>
        <w:t xml:space="preserve">Hupyy Partnership Assessment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Strengths</w:t>
      </w:r>
      <w:r>
        <w:t xml:space="preserve">: Hupyy owns core formal verification IP (algorithms, toolchain, patent portfolio), AI safety expertise (medical devices, autonomous vehicles), regulatory compliance knowledge (EU AI Act, FDA AI/ML guidance specialists on team)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Risks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Startup Dependency</w:t>
      </w:r>
      <w:r>
        <w:t xml:space="preserve">: If Hupyy fails financially or acquired by competitor (e.g., Agilent acquires Hupyy for $50M-$100M), SRS loses core technology partner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Exclusivity Uncertainty</w:t>
      </w:r>
      <w:r>
        <w:t xml:space="preserve">: If Hupyy licenses verification to Agilent/Thermo Fisher, SRS loses differentiation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Technical Bandwidth</w:t>
      </w:r>
      <w:r>
        <w:t xml:space="preserve">: Hupyy must scale to support multiple SRS instrument types simultaneously (Hupyy team estimated 20-30 engineers, may face resource constraints)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Mitigation</w:t>
      </w:r>
      <w:r>
        <w:t xml:space="preserve">: (1) Negotiate exclusivity clause in laboratory instrumentation segment (Hupyy can license to aerospace/automotive but not Agilent/Thermo/Keysight), (2) SRS builds in-house formal verification capability (reduce dependency over 2-3 years), (3) Equity investment or acquisition option (SRS acquires Hupyy for $30M-$50M by 2027 if partnership successful)</w:t>
      </w:r>
    </w:p>
    <w:bookmarkEnd w:id="31"/>
    <w:bookmarkStart w:id="32" w:name="technical-risk-analysi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Technical Risk Analysis</w:t>
      </w:r>
    </w:p>
    <w:p>
      <w:pPr>
        <w:pStyle w:val="FirstParagraph"/>
      </w:pPr>
      <w:r>
        <w:rPr>
          <w:b/>
          <w:bCs/>
        </w:rPr>
        <w:t xml:space="preserve">High-Risk Areas</w:t>
      </w:r>
      <w:r>
        <w:t xml:space="preserve"> </w:t>
      </w:r>
      <w:r>
        <w:t xml:space="preserve">(Probability: 20-30%, Impact: High):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Formal Verification Scalability Across Instrument Types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Risk</w:t>
      </w:r>
      <w:r>
        <w:t xml:space="preserve">: Verification works for simple instruments (lock-in amplifiers with 10,000 lines of embedded code) but fails for complex systems (mass spectrometers with 100,000+ lines, multiple subsystems: ion source, mass analyzer, detector)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Impact</w:t>
      </w:r>
      <w:r>
        <w:t xml:space="preserve">: Product roadmap constrained to 1-2 instrument types, market opportunity reduced 50-70% (SOM $63M → $20M-$30M)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Probability</w:t>
      </w:r>
      <w:r>
        <w:t xml:space="preserve">: 25% (Hupyy has verified complex systems, but laboratory instrument diversity higher than aerospace/medical device)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Mitigation</w:t>
      </w:r>
      <w:r>
        <w:t xml:space="preserve">:</w:t>
      </w:r>
    </w:p>
    <w:p>
      <w:pPr>
        <w:pStyle w:val="Compact"/>
        <w:numPr>
          <w:ilvl w:val="2"/>
          <w:numId w:val="1052"/>
        </w:numPr>
      </w:pPr>
      <w:r>
        <w:rPr>
          <w:b/>
          <w:bCs/>
        </w:rPr>
        <w:t xml:space="preserve">Phased Product Launch</w:t>
      </w:r>
      <w:r>
        <w:t xml:space="preserve">: Start with simplest instruments (lock-in amplifiers where verification easiest), expand to complex instruments only after maturity</w:t>
      </w:r>
    </w:p>
    <w:p>
      <w:pPr>
        <w:pStyle w:val="Compact"/>
        <w:numPr>
          <w:ilvl w:val="2"/>
          <w:numId w:val="1052"/>
        </w:numPr>
      </w:pPr>
      <w:r>
        <w:rPr>
          <w:b/>
          <w:bCs/>
        </w:rPr>
        <w:t xml:space="preserve">Hybrid Approach</w:t>
      </w:r>
      <w:r>
        <w:t xml:space="preserve">: Use formal verification for safety-critical AI decisions (e.g., peak identification in patient testing), statistical validation for non-critical (e.g., predictive maintenance alerts)</w:t>
      </w:r>
    </w:p>
    <w:p>
      <w:pPr>
        <w:pStyle w:val="Compact"/>
        <w:numPr>
          <w:ilvl w:val="2"/>
          <w:numId w:val="1052"/>
        </w:numPr>
      </w:pPr>
      <w:r>
        <w:rPr>
          <w:b/>
          <w:bCs/>
        </w:rPr>
        <w:t xml:space="preserve">Modular Verification</w:t>
      </w:r>
      <w:r>
        <w:t xml:space="preserve">: Decompose complex instruments into subsystems, verify each module separately, compose proofs (standard formal methods practice)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Real-Time Performance Constraints</w:t>
      </w:r>
      <w:r>
        <w:t xml:space="preserve">: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Risk</w:t>
      </w:r>
      <w:r>
        <w:t xml:space="preserve">: Verification proof generation too slow for real-time closed-loop control (100ms+ latency unacceptable for instruments requiring 1-10ms response time)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Impact</w:t>
      </w:r>
      <w:r>
        <w:t xml:space="preserve">: Autonomous operation limited to batch processing (post-acquisition verification), not real-time control; reduces value proposition vs. competitors’ unverified AI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Probability</w:t>
      </w:r>
      <w:r>
        <w:t xml:space="preserve">: 20% (edge computing hardware increasingly powerful, but verification algorithms computationally expensive)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Mitigation</w:t>
      </w:r>
      <w:r>
        <w:t xml:space="preserve">:</w:t>
      </w:r>
    </w:p>
    <w:p>
      <w:pPr>
        <w:pStyle w:val="Compact"/>
        <w:numPr>
          <w:ilvl w:val="2"/>
          <w:numId w:val="1054"/>
        </w:numPr>
      </w:pPr>
      <w:r>
        <w:rPr>
          <w:b/>
          <w:bCs/>
        </w:rPr>
        <w:t xml:space="preserve">Edge Computing Optimization</w:t>
      </w:r>
      <w:r>
        <w:t xml:space="preserve">: Use hardware accelerators (NVIDIA Jetson Xavier with 512-core Volta GPU, Intel Movidius VPU) for proof generation</w:t>
      </w:r>
    </w:p>
    <w:p>
      <w:pPr>
        <w:pStyle w:val="Compact"/>
        <w:numPr>
          <w:ilvl w:val="2"/>
          <w:numId w:val="1054"/>
        </w:numPr>
      </w:pPr>
      <w:r>
        <w:rPr>
          <w:b/>
          <w:bCs/>
        </w:rPr>
        <w:t xml:space="preserve">Pre-Computed Verification</w:t>
      </w:r>
      <w:r>
        <w:t xml:space="preserve">: For common scenarios (e.g., standard chromatography methods), pre-compute verification proofs offline, store on instrument, validate inputs match pre-computed scenario (1ms lookup vs. 100ms proof generation)</w:t>
      </w:r>
    </w:p>
    <w:p>
      <w:pPr>
        <w:pStyle w:val="Compact"/>
        <w:numPr>
          <w:ilvl w:val="2"/>
          <w:numId w:val="1054"/>
        </w:numPr>
      </w:pPr>
      <w:r>
        <w:rPr>
          <w:b/>
          <w:bCs/>
        </w:rPr>
        <w:t xml:space="preserve">Approximate Verification</w:t>
      </w:r>
      <w:r>
        <w:t xml:space="preserve">: For time-critical decisions, use</w:t>
      </w:r>
      <w:r>
        <w:t xml:space="preserve"> </w:t>
      </w:r>
      <w:r>
        <w:t xml:space="preserve">“fast approximate verification”</w:t>
      </w:r>
      <w:r>
        <w:t xml:space="preserve"> </w:t>
      </w:r>
      <w:r>
        <w:t xml:space="preserve">(95% confidence in 1ms) with</w:t>
      </w:r>
      <w:r>
        <w:t xml:space="preserve"> </w:t>
      </w:r>
      <w:r>
        <w:t xml:space="preserve">“full verification”</w:t>
      </w:r>
      <w:r>
        <w:t xml:space="preserve"> </w:t>
      </w:r>
      <w:r>
        <w:t xml:space="preserve">post-hoc (100% confidence in 100ms); flag discrepancies for human review</w:t>
      </w:r>
    </w:p>
    <w:p>
      <w:pPr>
        <w:pStyle w:val="FirstParagraph"/>
      </w:pPr>
      <w:r>
        <w:rPr>
          <w:b/>
          <w:bCs/>
        </w:rPr>
        <w:t xml:space="preserve">Medium-Risk Areas</w:t>
      </w:r>
      <w:r>
        <w:t xml:space="preserve"> </w:t>
      </w:r>
      <w:r>
        <w:t xml:space="preserve">(Probability: 30-40%, Impact: Medium):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LIMS Integration Complexity</w:t>
      </w:r>
      <w:r>
        <w:t xml:space="preserve">: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Risk</w:t>
      </w:r>
      <w:r>
        <w:t xml:space="preserve">: Bidirectional integration with 5-10 LIMS platforms proves more difficult than anticipated (12-18 months per platform vs. 6-12 months estimated, $800K-$1M vs. $400K-$600K)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Impact</w:t>
      </w:r>
      <w:r>
        <w:t xml:space="preserve">: Sales cycles extend (integration blockers prevent customer purchases), delayed revenue ($5M revenue in 2027 → $3M if integration delays 6 months), customer frustration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Probability</w:t>
      </w:r>
      <w:r>
        <w:t xml:space="preserve">: 35% (LIMS vendors have varying levels of openness: Agilent relatively open, Thermo Fisher proprietary and protective of SampleManager ecosystem)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Mitigation</w:t>
      </w:r>
      <w:r>
        <w:t xml:space="preserve">:</w:t>
      </w:r>
    </w:p>
    <w:p>
      <w:pPr>
        <w:pStyle w:val="Compact"/>
        <w:numPr>
          <w:ilvl w:val="2"/>
          <w:numId w:val="1057"/>
        </w:numPr>
      </w:pPr>
      <w:r>
        <w:rPr>
          <w:b/>
          <w:bCs/>
        </w:rPr>
        <w:t xml:space="preserve">Prioritize Top 3 LIMS</w:t>
      </w:r>
      <w:r>
        <w:t xml:space="preserve">: Focus initial development on Agilent OpenLab (35% pharma market share), Thermo SampleManager (25%), PerkinElmer Signals (15% and growing); defer others until proven demand</w:t>
      </w:r>
    </w:p>
    <w:p>
      <w:pPr>
        <w:pStyle w:val="Compact"/>
        <w:numPr>
          <w:ilvl w:val="2"/>
          <w:numId w:val="1057"/>
        </w:numPr>
      </w:pPr>
      <w:r>
        <w:rPr>
          <w:b/>
          <w:bCs/>
        </w:rPr>
        <w:t xml:space="preserve">Open API Strategy</w:t>
      </w:r>
      <w:r>
        <w:t xml:space="preserve">: Publish SRS verified AI API specification, enable third-party integrators and system integrators to build connections (shift integration burden to partner ecosystem)</w:t>
      </w:r>
    </w:p>
    <w:p>
      <w:pPr>
        <w:pStyle w:val="Compact"/>
        <w:numPr>
          <w:ilvl w:val="2"/>
          <w:numId w:val="1057"/>
        </w:numPr>
      </w:pPr>
      <w:r>
        <w:rPr>
          <w:b/>
          <w:bCs/>
        </w:rPr>
        <w:t xml:space="preserve">LIMS Vendor Co-Development</w:t>
      </w:r>
      <w:r>
        <w:t xml:space="preserve">: Negotiate co-development agreements with Agilent, PerkinElmer (mutual benefit: their LIMS become</w:t>
      </w:r>
      <w:r>
        <w:t xml:space="preserve"> </w:t>
      </w:r>
      <w:r>
        <w:t xml:space="preserve">“verified AI-compatible,”</w:t>
      </w:r>
      <w:r>
        <w:t xml:space="preserve"> </w:t>
      </w:r>
      <w:r>
        <w:t xml:space="preserve">SRS gets engineering support)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Self-Driving Lab Ecosystem Fragmentation</w:t>
      </w:r>
      <w:r>
        <w:t xml:space="preserve">: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Risk</w:t>
      </w:r>
      <w:r>
        <w:t xml:space="preserve">: SDL platforms lack standardization (each uses custom APIs, robotic systems, data formats), integration becomes one-off custom engineering projects ($100K-$300K per SDL customer)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Impact</w:t>
      </w:r>
      <w:r>
        <w:t xml:space="preserve">: High cost per SDL customer reduces profitability and scalability; SDL segment limited to 5-10 customers vs. 12-20 target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Probability</w:t>
      </w:r>
      <w:r>
        <w:t xml:space="preserve">: 40% (SDL ecosystem highly fragmented, SiLA standardization efforts slow)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Mitigation</w:t>
      </w:r>
      <w:r>
        <w:t xml:space="preserve">: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Advocate for SiLA</w:t>
      </w:r>
      <w:r>
        <w:t xml:space="preserve">: Participate in SiLA consortium (Standardization in Lab Automation), contribute SRS verified AI specifications to SiLA protocol extensions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Reference Integrations</w:t>
      </w:r>
      <w:r>
        <w:t xml:space="preserve">: Develop deep integrations with top 2-3 SDL platforms (Acceleration Consortium, Emerald Cloud Lab, Synthace), publish as open-source reference implementations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SDL Platform Partnerships</w:t>
      </w:r>
      <w:r>
        <w:t xml:space="preserve">: Partner with SDL platform providers (e.g., SRS instruments pre-integrated into Emerald Cloud Lab, revenue share model)</w:t>
      </w:r>
    </w:p>
    <w:p>
      <w:pPr>
        <w:pStyle w:val="FirstParagraph"/>
      </w:pPr>
      <w:r>
        <w:rPr>
          <w:b/>
          <w:bCs/>
        </w:rPr>
        <w:t xml:space="preserve">Low-Risk Areas</w:t>
      </w:r>
      <w:r>
        <w:t xml:space="preserve"> </w:t>
      </w:r>
      <w:r>
        <w:t xml:space="preserve">(Probability: 10-20%, Impact: Low-Medium):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IoT Sensor Reliability</w:t>
      </w:r>
      <w:r>
        <w:t xml:space="preserve">: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Risk</w:t>
      </w:r>
      <w:r>
        <w:t xml:space="preserve">: Embedded sensors fail prematurely (MTTF &lt;5 years vs. 10 year instrument lifespan) or provide noisy data (vibration sensor detects building HVAC instead of bearing wear), undermining predictive maintenance accuracy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Impact</w:t>
      </w:r>
      <w:r>
        <w:t xml:space="preserve">: Customer dissatisfaction, limited value from IoT features, churn risk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Probability</w:t>
      </w:r>
      <w:r>
        <w:t xml:space="preserve">: 15% (industrial-grade sensors highly reliable, but harsh laboratory environments—chemical exposure, temperature cycling—accelerate wear)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Mitigation</w:t>
      </w:r>
      <w:r>
        <w:t xml:space="preserve">: (1) Use industrial-grade sensors with proven reliability (e.g., Analog Devices ADXL354 rated 100,000 hours MTTF), (2) Redundant sensor designs (dual accelerometers, cross-validate readings), (3) AI anomaly detection for sensor failures (flag sensor drift, recommend replacement)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Cybersecurity Vulnerabilities</w:t>
      </w:r>
      <w:r>
        <w:t xml:space="preserve">: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Risk</w:t>
      </w:r>
      <w:r>
        <w:t xml:space="preserve">: Cloud-connected instruments vulnerable to cyberattacks (ransomware encrypting instrument firmware, data exfiltration of proprietary methods/results, denial-of-service disrupting lab operations)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Impact</w:t>
      </w:r>
      <w:r>
        <w:t xml:space="preserve">: Customer security audits block purchases (pharma IT security teams reject cloud connectivity), data breach liability ($50K-$500K per incident under GDPR, potential IP theft), reputational damage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Probability</w:t>
      </w:r>
      <w:r>
        <w:t xml:space="preserve">: 20% (laboratory instruments increasingly targeted by nation-state actors and ransomware gangs; 2021 Colonial Pipeline attack showed industrial control system vulnerabilities)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Mitigation</w:t>
      </w:r>
      <w:r>
        <w:t xml:space="preserve">:</w:t>
      </w:r>
    </w:p>
    <w:p>
      <w:pPr>
        <w:pStyle w:val="Compact"/>
        <w:numPr>
          <w:ilvl w:val="2"/>
          <w:numId w:val="1063"/>
        </w:numPr>
      </w:pPr>
      <w:r>
        <w:rPr>
          <w:b/>
          <w:bCs/>
        </w:rPr>
        <w:t xml:space="preserve">SOC 2 Type II Certification</w:t>
      </w:r>
      <w:r>
        <w:t xml:space="preserve">: Third-party audit of SRS cloud platform security controls (required by pharma customers, $100K-$150K investment, 6-12 month timeline)</w:t>
      </w:r>
    </w:p>
    <w:p>
      <w:pPr>
        <w:pStyle w:val="Compact"/>
        <w:numPr>
          <w:ilvl w:val="2"/>
          <w:numId w:val="1063"/>
        </w:numPr>
      </w:pPr>
      <w:r>
        <w:rPr>
          <w:b/>
          <w:bCs/>
        </w:rPr>
        <w:t xml:space="preserve">ISO 27001 Certification</w:t>
      </w:r>
      <w:r>
        <w:t xml:space="preserve">: Information security management system (required by EU pharma, $80K-$120K, 6-9 months)</w:t>
      </w:r>
    </w:p>
    <w:p>
      <w:pPr>
        <w:pStyle w:val="Compact"/>
        <w:numPr>
          <w:ilvl w:val="2"/>
          <w:numId w:val="1063"/>
        </w:numPr>
      </w:pPr>
      <w:r>
        <w:rPr>
          <w:b/>
          <w:bCs/>
        </w:rPr>
        <w:t xml:space="preserve">Penetration Testing</w:t>
      </w:r>
      <w:r>
        <w:t xml:space="preserve">: Annual third-party penetration testing of SRS instruments and cloud platform ($50K-$100K annually)</w:t>
      </w:r>
    </w:p>
    <w:p>
      <w:pPr>
        <w:pStyle w:val="Compact"/>
        <w:numPr>
          <w:ilvl w:val="2"/>
          <w:numId w:val="1063"/>
        </w:numPr>
      </w:pPr>
      <w:r>
        <w:rPr>
          <w:b/>
          <w:bCs/>
        </w:rPr>
        <w:t xml:space="preserve">Encrypted Communications</w:t>
      </w:r>
      <w:r>
        <w:t xml:space="preserve">: TLS 1.3 for all cloud communications, VPN option for customers requiring private connectivity</w:t>
      </w:r>
    </w:p>
    <w:p>
      <w:pPr>
        <w:pStyle w:val="Compact"/>
        <w:numPr>
          <w:ilvl w:val="2"/>
          <w:numId w:val="1063"/>
        </w:numPr>
      </w:pPr>
      <w:r>
        <w:rPr>
          <w:b/>
          <w:bCs/>
        </w:rPr>
        <w:t xml:space="preserve">Zero-Trust Architecture</w:t>
      </w:r>
      <w:r>
        <w:t xml:space="preserve">: Instruments authenticate to cloud, not vice versa; role-based access control (RBAC) for cloud platform users</w:t>
      </w:r>
    </w:p>
    <w:p>
      <w:pPr>
        <w:pStyle w:val="FirstParagraph"/>
      </w:pPr>
      <w:r>
        <w:rPr>
          <w:b/>
          <w:bCs/>
        </w:rPr>
        <w:t xml:space="preserve">Overall Technical Risk Profile</w:t>
      </w:r>
      <w:r>
        <w:t xml:space="preserve">:</w:t>
      </w:r>
      <w:r>
        <w:t xml:space="preserve"> </w:t>
      </w:r>
      <w:r>
        <w:rPr>
          <w:b/>
          <w:bCs/>
        </w:rPr>
        <w:t xml:space="preserve">Moderate technical risk</w:t>
      </w:r>
      <w:r>
        <w:t xml:space="preserve"> </w:t>
      </w:r>
      <w:r>
        <w:t xml:space="preserve">with well-defined mitigation strategies. No show-stopping technical barriers identified (all risks have credible mitigation paths), but execution requires careful risk management and contingency planning.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competitive-positioning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Competitive Positioning</w:t>
      </w:r>
    </w:p>
    <w:bookmarkStart w:id="38" w:name="competitor-landscape-analysi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Competitor Landscape Analysis</w:t>
      </w:r>
    </w:p>
    <w:p>
      <w:pPr>
        <w:pStyle w:val="FirstParagraph"/>
      </w:pPr>
      <w:r>
        <w:rPr>
          <w:b/>
          <w:bCs/>
        </w:rPr>
        <w:t xml:space="preserve">Market Structure</w:t>
      </w:r>
      <w:r>
        <w:t xml:space="preserve">: Laboratory automation instruments market is moderately concentrated with 4-5 major players controlling 60-70% market share, plus 20-30 smaller specialists.</w:t>
      </w:r>
    </w:p>
    <w:p>
      <w:pPr>
        <w:pStyle w:val="BodyText"/>
      </w:pPr>
      <w:r>
        <w:rPr>
          <w:b/>
          <w:bCs/>
        </w:rPr>
        <w:t xml:space="preserve">Tier 1: Market Leaders (&gt;$5B annual revenue, comprehensive portfolios)</w:t>
      </w:r>
      <w:r>
        <w:t xml:space="preserve">:</w:t>
      </w:r>
    </w:p>
    <w:bookmarkStart w:id="34" w:name="agilent-technologies"/>
    <w:p>
      <w:pPr>
        <w:pStyle w:val="Heading4"/>
      </w:pPr>
      <w:r>
        <w:rPr>
          <w:rStyle w:val="SectionNumber"/>
        </w:rPr>
        <w:t xml:space="preserve">1.6.1.1</w:t>
      </w:r>
      <w:r>
        <w:tab/>
      </w:r>
      <w:r>
        <w:t xml:space="preserve">1. Agilent Technologies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Revenue</w:t>
      </w:r>
      <w:r>
        <w:t xml:space="preserve">: $6.85B (2023), Life Sciences &amp; Applied Markets segment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Market Position</w:t>
      </w:r>
      <w:r>
        <w:t xml:space="preserve">: Leader in analytical instruments (LC, GC, MS), laboratory informatics (OpenLab CDS, ChemStation)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AI Capabilities</w:t>
      </w:r>
      <w:r>
        <w:t xml:space="preserve">: Agilent Data Science team developing AI for method optimization, predictive maintenance;</w:t>
      </w:r>
      <w:r>
        <w:t xml:space="preserve"> </w:t>
      </w:r>
      <w:r>
        <w:rPr>
          <w:b/>
          <w:bCs/>
        </w:rPr>
        <w:t xml:space="preserve">no formal verification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Strengths</w:t>
      </w:r>
      <w:r>
        <w:t xml:space="preserve">: Comprehensive ecosystem (instruments + informatics + consumables), strong pharma relationships (70%+ of top 20 pharma use Agilent instruments), global service network (2,500+ field service engineers)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Weaknesses</w:t>
      </w:r>
      <w:r>
        <w:t xml:space="preserve">: Large company bureaucracy (slow innovation cycles), not AI-native (acquiring AI capabilities vs. building from ground up)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SRS Competitive Angle</w:t>
      </w:r>
      <w:r>
        <w:t xml:space="preserve">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Differentiation</w:t>
      </w:r>
      <w:r>
        <w:t xml:space="preserve">: SRS offers</w:t>
      </w:r>
      <w:r>
        <w:t xml:space="preserve"> </w:t>
      </w:r>
      <w:r>
        <w:rPr>
          <w:b/>
          <w:bCs/>
        </w:rPr>
        <w:t xml:space="preserve">verified AI</w:t>
      </w:r>
      <w:r>
        <w:t xml:space="preserve"> </w:t>
      </w:r>
      <w:r>
        <w:t xml:space="preserve">(mathematical proof) vs. Agilent</w:t>
      </w:r>
      <w:r>
        <w:t xml:space="preserve"> </w:t>
      </w:r>
      <w:r>
        <w:rPr>
          <w:b/>
          <w:bCs/>
        </w:rPr>
        <w:t xml:space="preserve">unverified AI</w:t>
      </w:r>
      <w:r>
        <w:t xml:space="preserve"> </w:t>
      </w:r>
      <w:r>
        <w:t xml:space="preserve">(statistical confidence scores only)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Regulatory Compliance</w:t>
      </w:r>
      <w:r>
        <w:t xml:space="preserve">: SRS built-in EU AI Act conformity vs. Agilent customers conduct own conformity assessments ($300K-$500K burden)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Autonomous Operation</w:t>
      </w:r>
      <w:r>
        <w:t xml:space="preserve">: SRS enables 24/7 unattended workflows vs. Agilent AI requires human oversight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Competitive Gap Duration</w:t>
      </w:r>
      <w:r>
        <w:t xml:space="preserve">: 3-5 years (Agilent would need to develop formal verification internally—2-4 years—or acquire Hupyy/similar startup)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M&amp;A Risk</w:t>
      </w:r>
      <w:r>
        <w:t xml:space="preserve">: 40% probability Agilent acquires AI verification startup by 2027-2028 (Agilent has active M&amp;A program, $500M-$1B annually in acquisitions)</w:t>
      </w:r>
    </w:p>
    <w:bookmarkEnd w:id="34"/>
    <w:bookmarkStart w:id="35" w:name="thermo-fisher-scientific"/>
    <w:p>
      <w:pPr>
        <w:pStyle w:val="Heading4"/>
      </w:pPr>
      <w:r>
        <w:rPr>
          <w:rStyle w:val="SectionNumber"/>
        </w:rPr>
        <w:t xml:space="preserve">1.6.1.2</w:t>
      </w:r>
      <w:r>
        <w:tab/>
      </w:r>
      <w:r>
        <w:t xml:space="preserve">2. Thermo Fisher Scientific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Revenue</w:t>
      </w:r>
      <w:r>
        <w:t xml:space="preserve">: $44.9B (2023), Analytical Instruments segment $5.2B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Market Position</w:t>
      </w:r>
      <w:r>
        <w:t xml:space="preserve">: Largest life sciences company, integrated LIMS (SampleManager), extensive instrument portfolio (MS, chromatography, spectroscopy)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AI Capabilities</w:t>
      </w:r>
      <w:r>
        <w:t xml:space="preserve">: Thermo Fisher IoT-connected instruments, cloud platform (Thermo Fisher Cloud), predictive service;</w:t>
      </w:r>
      <w:r>
        <w:t xml:space="preserve"> </w:t>
      </w:r>
      <w:r>
        <w:rPr>
          <w:b/>
          <w:bCs/>
        </w:rPr>
        <w:t xml:space="preserve">no formal verification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Strengths</w:t>
      </w:r>
      <w:r>
        <w:t xml:space="preserve">: Scale (160,000 employees), vertical integration (instruments + informatics + reagents + services), financial resources ($10B+ M&amp;A budget)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Weaknesses</w:t>
      </w:r>
      <w:r>
        <w:t xml:space="preserve">: Complex organization (multiple acquisitions not fully integrated), prioritizes breadth over depth (jack-of-all-trades vs. specialist excellence)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SRS Competitive Angle</w:t>
      </w:r>
      <w:r>
        <w:t xml:space="preserve">: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Differentiation</w:t>
      </w:r>
      <w:r>
        <w:t xml:space="preserve">: SRS</w:t>
      </w:r>
      <w:r>
        <w:t xml:space="preserve"> </w:t>
      </w:r>
      <w:r>
        <w:rPr>
          <w:b/>
          <w:bCs/>
        </w:rPr>
        <w:t xml:space="preserve">firmware-embedded verification</w:t>
      </w:r>
      <w:r>
        <w:t xml:space="preserve"> </w:t>
      </w:r>
      <w:r>
        <w:t xml:space="preserve">(real-time, 1-10ms latency) vs. Thermo</w:t>
      </w:r>
      <w:r>
        <w:t xml:space="preserve"> </w:t>
      </w:r>
      <w:r>
        <w:rPr>
          <w:b/>
          <w:bCs/>
        </w:rPr>
        <w:t xml:space="preserve">software-layer AI</w:t>
      </w:r>
      <w:r>
        <w:t xml:space="preserve"> </w:t>
      </w:r>
      <w:r>
        <w:t xml:space="preserve">(post-acquisition batch processing, 50-200ms)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Closed-Loop Control</w:t>
      </w:r>
      <w:r>
        <w:t xml:space="preserve">: SRS enables autonomous instrument parameter adjustment vs. Thermo manual workflows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Pre-Validated AI</w:t>
      </w:r>
      <w:r>
        <w:t xml:space="preserve">: SRS reduces customer validation 3-6 months → 2-4 weeks vs. Thermo customer-borne validation burden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Competitive Gap Duration</w:t>
      </w:r>
      <w:r>
        <w:t xml:space="preserve">: 4-6 years (embedding verification in firmware requires instrument redesign, longer than software-only approach)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M&amp;A Risk</w:t>
      </w:r>
      <w:r>
        <w:t xml:space="preserve">: 30% probability Thermo acquires AI verification startup (Thermo prioritizes bolt-on acquisitions for immediate revenue, verification is long-term play)</w:t>
      </w:r>
    </w:p>
    <w:bookmarkEnd w:id="35"/>
    <w:bookmarkStart w:id="36" w:name="keysight-technologies"/>
    <w:p>
      <w:pPr>
        <w:pStyle w:val="Heading4"/>
      </w:pPr>
      <w:r>
        <w:rPr>
          <w:rStyle w:val="SectionNumber"/>
        </w:rPr>
        <w:t xml:space="preserve">1.6.1.3</w:t>
      </w:r>
      <w:r>
        <w:tab/>
      </w:r>
      <w:r>
        <w:t xml:space="preserve">3. Keysight Technologies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Revenue</w:t>
      </w:r>
      <w:r>
        <w:t xml:space="preserve">: $5.42B (2023), Electronic Measurement segment (life sciences ~15% of revenue)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Market Position</w:t>
      </w:r>
      <w:r>
        <w:t xml:space="preserve">: Leader in electronic test equipment, emerging in pharma/biotech with PathWave AI platform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AI Capabilities</w:t>
      </w:r>
      <w:r>
        <w:t xml:space="preserve">: PathWave AI for instrument control and data analysis, machine learning-based signal processing;</w:t>
      </w:r>
      <w:r>
        <w:t xml:space="preserve"> </w:t>
      </w:r>
      <w:r>
        <w:rPr>
          <w:b/>
          <w:bCs/>
        </w:rPr>
        <w:t xml:space="preserve">no formal verification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Strengths</w:t>
      </w:r>
      <w:r>
        <w:t xml:space="preserve">: Strong in semiconductor/electronics testing (transferable to materials science), AI expertise (PathWave team 30-40 AI engineers)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Weaknesses</w:t>
      </w:r>
      <w:r>
        <w:t xml:space="preserve">: Limited pharma presence (stronger in electronics industry), PathWave designed for electronics testing not GxP compliance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SRS Competitive Angle</w:t>
      </w:r>
      <w:r>
        <w:t xml:space="preserve">: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Differentiation</w:t>
      </w:r>
      <w:r>
        <w:t xml:space="preserve">: SRS</w:t>
      </w:r>
      <w:r>
        <w:t xml:space="preserve"> </w:t>
      </w:r>
      <w:r>
        <w:rPr>
          <w:b/>
          <w:bCs/>
        </w:rPr>
        <w:t xml:space="preserve">hallucination prevention</w:t>
      </w:r>
      <w:r>
        <w:t xml:space="preserve"> </w:t>
      </w:r>
      <w:r>
        <w:t xml:space="preserve">(formal proof) vs. Keysight</w:t>
      </w:r>
      <w:r>
        <w:t xml:space="preserve"> </w:t>
      </w:r>
      <w:r>
        <w:rPr>
          <w:b/>
          <w:bCs/>
        </w:rPr>
        <w:t xml:space="preserve">best-effort AI</w:t>
      </w:r>
      <w:r>
        <w:t xml:space="preserve"> </w:t>
      </w:r>
      <w:r>
        <w:t xml:space="preserve">(no correctness guarantees)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Regulatory Focus</w:t>
      </w:r>
      <w:r>
        <w:t xml:space="preserve">: SRS pharma GxP/EU AI Act compliance vs. Keysight electronics industry focus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Self-Driving Lab Positioning</w:t>
      </w:r>
      <w:r>
        <w:t xml:space="preserve">: SRS targets SDL materials science vs. Keysight limited SDL presence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Competitive Gap Duration</w:t>
      </w:r>
      <w:r>
        <w:t xml:space="preserve">: 3-4 years (Keysight PathWave architecture not designed for formal verification, would require redesign)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M&amp;A Risk</w:t>
      </w:r>
      <w:r>
        <w:t xml:space="preserve">: 25% probability (Keysight less active in life sciences M&amp;A, focuses on electronics)</w:t>
      </w:r>
    </w:p>
    <w:bookmarkEnd w:id="36"/>
    <w:bookmarkStart w:id="37" w:name="perkinelmer-now-revvity"/>
    <w:p>
      <w:pPr>
        <w:pStyle w:val="Heading4"/>
      </w:pPr>
      <w:r>
        <w:rPr>
          <w:rStyle w:val="SectionNumber"/>
        </w:rPr>
        <w:t xml:space="preserve">1.6.1.4</w:t>
      </w:r>
      <w:r>
        <w:tab/>
      </w:r>
      <w:r>
        <w:t xml:space="preserve">4. PerkinElmer (now Revvity)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Revenue</w:t>
      </w:r>
      <w:r>
        <w:t xml:space="preserve">: $3.1B (2023), Discovery &amp; Analytical Solutions segment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Market Position</w:t>
      </w:r>
      <w:r>
        <w:t xml:space="preserve">: Strong in life sciences informatics (Signals cloud platform), radiometric/optical instruments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AI Capabilities</w:t>
      </w:r>
      <w:r>
        <w:t xml:space="preserve">: Signals Notebook uses AI for data analysis and experiment suggestions;</w:t>
      </w:r>
      <w:r>
        <w:t xml:space="preserve"> </w:t>
      </w:r>
      <w:r>
        <w:rPr>
          <w:b/>
          <w:bCs/>
        </w:rPr>
        <w:t xml:space="preserve">no formal verification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Strengths</w:t>
      </w:r>
      <w:r>
        <w:t xml:space="preserve">: Cloud-native Signals platform (API-first architecture, easier integration than legacy LIMS), strong in discovery research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Weaknesses</w:t>
      </w:r>
      <w:r>
        <w:t xml:space="preserve">: Smaller than Agilent/Thermo, instrument portfolio narrower (optical/radiometric focus), recent spinoff/rebranding creates organizational uncertainty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SRS Competitive Angle</w:t>
      </w:r>
      <w:r>
        <w:t xml:space="preserve">: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Differentiation</w:t>
      </w:r>
      <w:r>
        <w:t xml:space="preserve">: SRS</w:t>
      </w:r>
      <w:r>
        <w:t xml:space="preserve"> </w:t>
      </w:r>
      <w:r>
        <w:rPr>
          <w:b/>
          <w:bCs/>
        </w:rPr>
        <w:t xml:space="preserve">instrument-native verification</w:t>
      </w:r>
      <w:r>
        <w:t xml:space="preserve"> </w:t>
      </w:r>
      <w:r>
        <w:t xml:space="preserve">vs. PerkinElmer</w:t>
      </w:r>
      <w:r>
        <w:t xml:space="preserve"> </w:t>
      </w:r>
      <w:r>
        <w:rPr>
          <w:b/>
          <w:bCs/>
        </w:rPr>
        <w:t xml:space="preserve">informatics-layer only</w:t>
      </w:r>
      <w:r>
        <w:t xml:space="preserve"> </w:t>
      </w:r>
      <w:r>
        <w:t xml:space="preserve">(no instrument-level AI)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Hardware + Software Integration</w:t>
      </w:r>
      <w:r>
        <w:t xml:space="preserve">: SRS firmware-embedded AI vs. PerkinElmer software-only approach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Real-Time Autonomous Control</w:t>
      </w:r>
      <w:r>
        <w:t xml:space="preserve">: SRS closed-loop control vs. PerkinElmer post-hoc data analysis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Competitive Gap Duration</w:t>
      </w:r>
      <w:r>
        <w:t xml:space="preserve">: 2-3 years (PerkinElmer could partner with instrument vendors to add verified AI, but SRS has integrated advantage)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M&amp;A Risk</w:t>
      </w:r>
      <w:r>
        <w:t xml:space="preserve">: 20% probability (PerkinElmer focused on informatics, less likely to develop instrument-level verification)</w:t>
      </w:r>
    </w:p>
    <w:p>
      <w:pPr>
        <w:pStyle w:val="FirstParagraph"/>
      </w:pPr>
      <w:r>
        <w:rPr>
          <w:b/>
          <w:bCs/>
        </w:rPr>
        <w:t xml:space="preserve">Tier 2: Specialists (Revenue $100M-$1B, niche focus)</w:t>
      </w:r>
      <w:r>
        <w:t xml:space="preserve">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Rohde &amp; Schwarz</w:t>
      </w:r>
      <w:r>
        <w:t xml:space="preserve">: Precision measurement, strong in pharma quality control (comparable positioning to SRS, but no AI capabilities)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National Instruments</w:t>
      </w:r>
      <w:r>
        <w:t xml:space="preserve">: Data acquisition, LabVIEW platform (software-defined instruments, could add AI but no verification)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AMETEK</w:t>
      </w:r>
      <w:r>
        <w:t xml:space="preserve">: Analytical instruments, process measurement (commodity position, unlikely AI investment)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BK Precision</w:t>
      </w:r>
      <w:r>
        <w:t xml:space="preserve">: Low-cost test equipment (price-focused, not premium/innovation segment)</w:t>
      </w:r>
    </w:p>
    <w:bookmarkEnd w:id="37"/>
    <w:bookmarkEnd w:id="38"/>
    <w:bookmarkStart w:id="39" w:name="competitive-positioning-map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Competitive Positioning Map</w:t>
      </w:r>
    </w:p>
    <w:p>
      <w:pPr>
        <w:pStyle w:val="FirstParagraph"/>
      </w:pPr>
      <w:r>
        <w:rPr>
          <w:b/>
          <w:bCs/>
        </w:rPr>
        <w:t xml:space="preserve">Blue Ocean Strategy</w:t>
      </w:r>
      <w:r>
        <w:t xml:space="preserve">: SRS creates uncontested market space in premium pricing + verified AI capability quadrant: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8"/>
        <w:gridCol w:w="1397"/>
        <w:gridCol w:w="1956"/>
        <w:gridCol w:w="1956"/>
        <w:gridCol w:w="14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Price Position</w:t>
            </w:r>
          </w:p>
        </w:tc>
        <w:tc>
          <w:tcPr/>
          <w:p>
            <w:pPr>
              <w:pStyle w:val="Compact"/>
            </w:pPr>
            <w:r>
              <w:t xml:space="preserve">AI Capability Level</w:t>
            </w:r>
          </w:p>
        </w:tc>
        <w:tc>
          <w:tcPr/>
          <w:p>
            <w:pPr>
              <w:pStyle w:val="Compact"/>
            </w:pPr>
            <w:r>
              <w:t xml:space="preserve">Formal Verification</w:t>
            </w:r>
          </w:p>
        </w:tc>
        <w:tc>
          <w:tcPr/>
          <w:p>
            <w:pPr>
              <w:pStyle w:val="Compact"/>
            </w:pPr>
            <w:r>
              <w:t xml:space="preserve">Target Segment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SRS + Hupyy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 (+40%)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Autonomy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Mathematical Proof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Pharma R&amp;D, SDL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Agilent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Predictive Maintenance</w:t>
            </w:r>
          </w:p>
        </w:tc>
        <w:tc>
          <w:tcPr/>
          <w:p>
            <w:pPr>
              <w:pStyle w:val="Compact"/>
            </w:pPr>
            <w:r>
              <w:t xml:space="preserve">✗ None</w:t>
            </w:r>
          </w:p>
        </w:tc>
        <w:tc>
          <w:tcPr/>
          <w:p>
            <w:pPr>
              <w:pStyle w:val="Compact"/>
            </w:pPr>
            <w:r>
              <w:t xml:space="preserve">Pharma, Clinical, Biotech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Thermo Fisher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IoT Cloud Connectivity</w:t>
            </w:r>
          </w:p>
        </w:tc>
        <w:tc>
          <w:tcPr/>
          <w:p>
            <w:pPr>
              <w:pStyle w:val="Compact"/>
            </w:pPr>
            <w:r>
              <w:t xml:space="preserve">✗ None</w:t>
            </w:r>
          </w:p>
        </w:tc>
        <w:tc>
          <w:tcPr/>
          <w:p>
            <w:pPr>
              <w:pStyle w:val="Compact"/>
            </w:pPr>
            <w:r>
              <w:t xml:space="preserve">Pharma, Clinical,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Keysight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PathWave AI Analysis</w:t>
            </w:r>
          </w:p>
        </w:tc>
        <w:tc>
          <w:tcPr/>
          <w:p>
            <w:pPr>
              <w:pStyle w:val="Compact"/>
            </w:pPr>
            <w:r>
              <w:t xml:space="preserve">✗ None</w:t>
            </w:r>
          </w:p>
        </w:tc>
        <w:tc>
          <w:tcPr/>
          <w:p>
            <w:pPr>
              <w:pStyle w:val="Compact"/>
            </w:pPr>
            <w:r>
              <w:t xml:space="preserve">Electronics, Materials Science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PerkinElmer</w:t>
            </w:r>
          </w:p>
        </w:tc>
        <w:tc>
          <w:tcPr/>
          <w:p>
            <w:pPr>
              <w:pStyle w:val="Compact"/>
            </w:pPr>
            <w:r>
              <w:t xml:space="preserve">Mid-Premium</w:t>
            </w:r>
          </w:p>
        </w:tc>
        <w:tc>
          <w:tcPr/>
          <w:p>
            <w:pPr>
              <w:pStyle w:val="Compact"/>
            </w:pPr>
            <w:r>
              <w:t xml:space="preserve">Informatics AI</w:t>
            </w:r>
          </w:p>
        </w:tc>
        <w:tc>
          <w:tcPr/>
          <w:p>
            <w:pPr>
              <w:pStyle w:val="Compact"/>
            </w:pPr>
            <w:r>
              <w:t xml:space="preserve">✗ None</w:t>
            </w:r>
          </w:p>
        </w:tc>
        <w:tc>
          <w:tcPr/>
          <w:p>
            <w:pPr>
              <w:pStyle w:val="Compact"/>
            </w:pPr>
            <w:r>
              <w:t xml:space="preserve">Discovery Research, Pharma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Rohde &amp; Schwarz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Minimal/None</w:t>
            </w:r>
          </w:p>
        </w:tc>
        <w:tc>
          <w:tcPr/>
          <w:p>
            <w:pPr>
              <w:pStyle w:val="Compact"/>
            </w:pPr>
            <w:r>
              <w:t xml:space="preserve">✗ None</w:t>
            </w:r>
          </w:p>
        </w:tc>
        <w:tc>
          <w:tcPr/>
          <w:p>
            <w:pPr>
              <w:pStyle w:val="Compact"/>
            </w:pPr>
            <w:r>
              <w:t xml:space="preserve">Pharma QC, Telecom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Instruments</w:t>
            </w:r>
          </w:p>
        </w:tc>
        <w:tc>
          <w:tcPr/>
          <w:p>
            <w:pPr>
              <w:pStyle w:val="Compact"/>
            </w:pPr>
            <w:r>
              <w:t xml:space="preserve">Mid-Tier</w:t>
            </w:r>
          </w:p>
        </w:tc>
        <w:tc>
          <w:tcPr/>
          <w:p>
            <w:pPr>
              <w:pStyle w:val="Compact"/>
            </w:pPr>
            <w:r>
              <w:t xml:space="preserve">Software-Defined</w:t>
            </w:r>
          </w:p>
        </w:tc>
        <w:tc>
          <w:tcPr/>
          <w:p>
            <w:pPr>
              <w:pStyle w:val="Compact"/>
            </w:pPr>
            <w:r>
              <w:t xml:space="preserve">✗ None</w:t>
            </w:r>
          </w:p>
        </w:tc>
        <w:tc>
          <w:tcPr/>
          <w:p>
            <w:pPr>
              <w:pStyle w:val="Compact"/>
            </w:pPr>
            <w:r>
              <w:t xml:space="preserve">Research, Education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AMETEK</w:t>
            </w:r>
          </w:p>
        </w:tc>
        <w:tc>
          <w:tcPr/>
          <w:p>
            <w:pPr>
              <w:pStyle w:val="Compact"/>
            </w:pPr>
            <w:r>
              <w:t xml:space="preserve">Mid-Tier</w:t>
            </w:r>
          </w:p>
        </w:tc>
        <w:tc>
          <w:tcPr/>
          <w:p>
            <w:pPr>
              <w:pStyle w:val="Compact"/>
            </w:pPr>
            <w:r>
              <w:t xml:space="preserve">Minimal/None</w:t>
            </w:r>
          </w:p>
        </w:tc>
        <w:tc>
          <w:tcPr/>
          <w:p>
            <w:pPr>
              <w:pStyle w:val="Compact"/>
            </w:pPr>
            <w:r>
              <w:t xml:space="preserve">✗ None</w:t>
            </w:r>
          </w:p>
        </w:tc>
        <w:tc>
          <w:tcPr/>
          <w:p>
            <w:pPr>
              <w:pStyle w:val="Compact"/>
            </w:pPr>
            <w:r>
              <w:t xml:space="preserve">Process Industries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BK Precision</w:t>
            </w:r>
          </w:p>
        </w:tc>
        <w:tc>
          <w:tcPr/>
          <w:p>
            <w:pPr>
              <w:pStyle w:val="Compact"/>
            </w:pPr>
            <w:r>
              <w:t xml:space="preserve">Low-Cost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✗ None</w:t>
            </w:r>
          </w:p>
        </w:tc>
        <w:tc>
          <w:tcPr/>
          <w:p>
            <w:pPr>
              <w:pStyle w:val="Compact"/>
            </w:pPr>
            <w:r>
              <w:t xml:space="preserve">Education, Small Labs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SRS occupies</w:t>
      </w:r>
      <w:r>
        <w:t xml:space="preserve"> </w:t>
      </w:r>
      <w:r>
        <w:rPr>
          <w:b/>
          <w:bCs/>
        </w:rPr>
        <w:t xml:space="preserve">“Blue Ocean”</w:t>
      </w:r>
      <w:r>
        <w:t xml:space="preserve"> </w:t>
      </w:r>
      <w:r>
        <w:t xml:space="preserve">uncontested space—no competitor offers formal verification. This is classic category creation, not category competition.</w:t>
      </w:r>
    </w:p>
    <w:bookmarkEnd w:id="39"/>
    <w:bookmarkStart w:id="40" w:name="differentiation-pillars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Differentiation Pillars</w:t>
      </w:r>
    </w:p>
    <w:p>
      <w:pPr>
        <w:pStyle w:val="FirstParagraph"/>
      </w:pPr>
      <w:r>
        <w:rPr>
          <w:b/>
          <w:bCs/>
        </w:rPr>
        <w:t xml:space="preserve">Pillar 1: Regulatory Compliance (Built-In, Not Bolt-On)</w:t>
      </w:r>
    </w:p>
    <w:p>
      <w:pPr>
        <w:pStyle w:val="BodyText"/>
      </w:pPr>
      <w:r>
        <w:rPr>
          <w:b/>
          <w:bCs/>
        </w:rPr>
        <w:t xml:space="preserve">Customer Pain</w:t>
      </w:r>
      <w:r>
        <w:t xml:space="preserve">:</w:t>
      </w:r>
    </w:p>
    <w:p>
      <w:pPr>
        <w:pStyle w:val="Compact"/>
        <w:numPr>
          <w:ilvl w:val="0"/>
          <w:numId w:val="1073"/>
        </w:numPr>
      </w:pPr>
      <w:r>
        <w:t xml:space="preserve">Pharmaceutical companies spend $150K-$400K and 3-6 months validating each new instrument for GMP use</w:t>
      </w:r>
    </w:p>
    <w:p>
      <w:pPr>
        <w:pStyle w:val="Compact"/>
        <w:numPr>
          <w:ilvl w:val="0"/>
          <w:numId w:val="1073"/>
        </w:numPr>
      </w:pPr>
      <w:r>
        <w:t xml:space="preserve">Audit preparation and remediation: $50K-$500K per finding (major pharma experiences 5-15 findings per FDA audit cycle)</w:t>
      </w:r>
    </w:p>
    <w:p>
      <w:pPr>
        <w:pStyle w:val="Compact"/>
        <w:numPr>
          <w:ilvl w:val="0"/>
          <w:numId w:val="1073"/>
        </w:numPr>
      </w:pPr>
      <w:r>
        <w:t xml:space="preserve">AI-specific validation challenge: How to validate</w:t>
      </w:r>
      <w:r>
        <w:t xml:space="preserve"> </w:t>
      </w:r>
      <w:r>
        <w:t xml:space="preserve">“black box”</w:t>
      </w:r>
      <w:r>
        <w:t xml:space="preserve"> </w:t>
      </w:r>
      <w:r>
        <w:t xml:space="preserve">neural networks? Traditional validation assumes deterministic systems; AI models are probabilistic</w:t>
      </w:r>
    </w:p>
    <w:p>
      <w:pPr>
        <w:pStyle w:val="FirstParagraph"/>
      </w:pPr>
      <w:r>
        <w:rPr>
          <w:b/>
          <w:bCs/>
        </w:rPr>
        <w:t xml:space="preserve">Traditional Vendor Approach</w:t>
      </w:r>
      <w:r>
        <w:t xml:space="preserve">:</w:t>
      </w:r>
    </w:p>
    <w:p>
      <w:pPr>
        <w:pStyle w:val="Compact"/>
        <w:numPr>
          <w:ilvl w:val="0"/>
          <w:numId w:val="1074"/>
        </w:numPr>
      </w:pPr>
      <w:r>
        <w:t xml:space="preserve">Vendors provide validation support packages ($20K-$50K) with installation qualification (IQ), operational qualification (OQ), performance qualification (PQ) templates</w:t>
      </w:r>
    </w:p>
    <w:p>
      <w:pPr>
        <w:pStyle w:val="Compact"/>
        <w:numPr>
          <w:ilvl w:val="0"/>
          <w:numId w:val="1074"/>
        </w:numPr>
      </w:pPr>
      <w:r>
        <w:t xml:space="preserve">Customers still responsible for validation execution (internal labor $100K-$250K, consultants $50K-$150K)</w:t>
      </w:r>
    </w:p>
    <w:p>
      <w:pPr>
        <w:pStyle w:val="Compact"/>
        <w:numPr>
          <w:ilvl w:val="0"/>
          <w:numId w:val="1074"/>
        </w:numPr>
      </w:pPr>
      <w:r>
        <w:t xml:space="preserve">Regulatory risk remains with customer (vendor documentation helps but doesn’t eliminate validation work)</w:t>
      </w:r>
    </w:p>
    <w:p>
      <w:pPr>
        <w:pStyle w:val="FirstParagraph"/>
      </w:pPr>
      <w:r>
        <w:rPr>
          <w:b/>
          <w:bCs/>
        </w:rPr>
        <w:t xml:space="preserve">SRS Differentiation</w:t>
      </w:r>
      <w:r>
        <w:t xml:space="preserve">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Pre-Validated AI Modules</w:t>
      </w:r>
      <w:r>
        <w:t xml:space="preserve">: Hupyy formal verification provides mathematical proof of AI correctness, reducing validation scope</w:t>
      </w:r>
    </w:p>
    <w:p>
      <w:pPr>
        <w:pStyle w:val="Compact"/>
        <w:numPr>
          <w:ilvl w:val="1"/>
          <w:numId w:val="1076"/>
        </w:numPr>
      </w:pPr>
      <w:r>
        <w:t xml:space="preserve">Instead of validating</w:t>
      </w:r>
      <w:r>
        <w:t xml:space="preserve"> </w:t>
      </w:r>
      <w:r>
        <w:t xml:space="preserve">“black box”</w:t>
      </w:r>
      <w:r>
        <w:t xml:space="preserve"> </w:t>
      </w:r>
      <w:r>
        <w:t xml:space="preserve">AI through exhaustive testing (infeasible for neural networks with 100,000+ parameters), customers validate verification proof (cryptographic certificate check, 1-2 weeks vs. 3-6 months)</w:t>
      </w:r>
    </w:p>
    <w:p>
      <w:pPr>
        <w:pStyle w:val="Compact"/>
        <w:numPr>
          <w:ilvl w:val="1"/>
          <w:numId w:val="1076"/>
        </w:numPr>
      </w:pPr>
      <w:r>
        <w:t xml:space="preserve">Validation timeline: 3-6 months → 2-4 weeks (75-85% reduction)</w:t>
      </w:r>
    </w:p>
    <w:p>
      <w:pPr>
        <w:pStyle w:val="Compact"/>
        <w:numPr>
          <w:ilvl w:val="1"/>
          <w:numId w:val="1076"/>
        </w:numPr>
      </w:pPr>
      <w:r>
        <w:t xml:space="preserve">Validation cost: $150K-$400K → $30K-$80K (70-85% reduction)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EU AI Act Article 43 Conformity Built-In</w:t>
      </w:r>
      <w:r>
        <w:t xml:space="preserve">: SRS provides conformity assessment documentation, reducing customer burden</w:t>
      </w:r>
    </w:p>
    <w:p>
      <w:pPr>
        <w:pStyle w:val="Compact"/>
        <w:numPr>
          <w:ilvl w:val="1"/>
          <w:numId w:val="1077"/>
        </w:numPr>
      </w:pPr>
      <w:r>
        <w:t xml:space="preserve">Customers purchasing non-compliant AI systems must conduct own conformity assessment (expensive, time-consuming, $300K-$500K)</w:t>
      </w:r>
    </w:p>
    <w:p>
      <w:pPr>
        <w:pStyle w:val="Compact"/>
        <w:numPr>
          <w:ilvl w:val="1"/>
          <w:numId w:val="1077"/>
        </w:numPr>
      </w:pPr>
      <w:r>
        <w:t xml:space="preserve">SRS systems ship with conformity certificates (CE marking for AI, ready for EU market entry)</w:t>
      </w:r>
    </w:p>
    <w:p>
      <w:pPr>
        <w:pStyle w:val="Compact"/>
        <w:numPr>
          <w:ilvl w:val="1"/>
          <w:numId w:val="1077"/>
        </w:numPr>
      </w:pPr>
      <w:r>
        <w:t xml:space="preserve">Timeline advantage: 12-18 months faster time-to-market in EU vs. customers conducting own conformity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FDA AI/ML Submission Package</w:t>
      </w:r>
      <w:r>
        <w:t xml:space="preserve">: SRS provides regulatory documentation for 510(k) or PMA submissions</w:t>
      </w:r>
    </w:p>
    <w:p>
      <w:pPr>
        <w:pStyle w:val="Compact"/>
        <w:numPr>
          <w:ilvl w:val="1"/>
          <w:numId w:val="1078"/>
        </w:numPr>
      </w:pPr>
      <w:r>
        <w:t xml:space="preserve">Good Machine Learning Practice (GMLP) documentation: Model development, training data quality, validation testing, performance monitoring</w:t>
      </w:r>
    </w:p>
    <w:p>
      <w:pPr>
        <w:pStyle w:val="Compact"/>
        <w:numPr>
          <w:ilvl w:val="1"/>
          <w:numId w:val="1078"/>
        </w:numPr>
      </w:pPr>
      <w:r>
        <w:t xml:space="preserve">Algorithm Change Protocol templates: Pre-defined procedures for AI model updates within FDA-approved bounds</w:t>
      </w:r>
    </w:p>
    <w:p>
      <w:pPr>
        <w:pStyle w:val="Compact"/>
        <w:numPr>
          <w:ilvl w:val="1"/>
          <w:numId w:val="1078"/>
        </w:numPr>
      </w:pPr>
      <w:r>
        <w:t xml:space="preserve">Pre-submission meeting support: SRS regulatory affairs team assists customer with FDA Q-Submission</w:t>
      </w:r>
    </w:p>
    <w:p>
      <w:pPr>
        <w:pStyle w:val="Compact"/>
        <w:numPr>
          <w:ilvl w:val="1"/>
          <w:numId w:val="1078"/>
        </w:numPr>
      </w:pPr>
      <w:r>
        <w:t xml:space="preserve">Value: $100K-$200K savings on regulatory consulting, 3-6 month acceleration of submission timeline</w:t>
      </w:r>
    </w:p>
    <w:p>
      <w:pPr>
        <w:pStyle w:val="FirstParagraph"/>
      </w:pPr>
      <w:r>
        <w:rPr>
          <w:b/>
          <w:bCs/>
        </w:rPr>
        <w:t xml:space="preserve">Value Quantification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Total 5-Year Regulatory Value per 3-Instrument Installation:</w:t>
      </w:r>
      <w:r>
        <w:br/>
      </w:r>
      <w:r>
        <w:rPr>
          <w:rStyle w:val="VerbatimChar"/>
        </w:rPr>
        <w:t xml:space="preserve">- Validation savings (one-time): $360K ($120K per instrument × 3)</w:t>
      </w:r>
      <w:r>
        <w:br/>
      </w:r>
      <w:r>
        <w:rPr>
          <w:rStyle w:val="VerbatimChar"/>
        </w:rPr>
        <w:t xml:space="preserve">- Time-to-productivity (one-time): $125K (3-month acceleration × $500K annual instrument value)</w:t>
      </w:r>
      <w:r>
        <w:br/>
      </w:r>
      <w:r>
        <w:rPr>
          <w:rStyle w:val="VerbatimChar"/>
        </w:rPr>
        <w:t xml:space="preserve">- Audit risk reduction (annual): $75K × 5 years = $375K (lower probability of findings)</w:t>
      </w:r>
      <w:r>
        <w:br/>
      </w:r>
      <w:r>
        <w:rPr>
          <w:rStyle w:val="VerbatimChar"/>
        </w:rPr>
        <w:t xml:space="preserve">- EU AI Act conformity (one-time): $400K (vs. customer conducting own assessment)</w:t>
      </w:r>
      <w:r>
        <w:br/>
      </w:r>
      <w:r>
        <w:rPr>
          <w:rStyle w:val="VerbatimChar"/>
        </w:rPr>
        <w:t xml:space="preserve">Total 5-Year Value: $1.26M</w:t>
      </w:r>
      <w:r>
        <w:br/>
      </w:r>
      <w:r>
        <w:rPr>
          <w:rStyle w:val="VerbatimChar"/>
        </w:rPr>
        <w:t xml:space="preserve">SRS Premium Pricing: $90K (hardware premium $45K + software 5-year premium $45K)</w:t>
      </w:r>
      <w:r>
        <w:br/>
      </w:r>
      <w:r>
        <w:rPr>
          <w:rStyle w:val="VerbatimChar"/>
        </w:rPr>
        <w:t xml:space="preserve">Customer Net Benefit: $1.17M</w:t>
      </w:r>
      <w:r>
        <w:br/>
      </w:r>
      <w:r>
        <w:rPr>
          <w:rStyle w:val="VerbatimChar"/>
        </w:rPr>
        <w:t xml:space="preserve">ROI: 1300% (customer invests $90K premium, receives $1.26M value)</w:t>
      </w:r>
    </w:p>
    <w:p>
      <w:pPr>
        <w:pStyle w:val="FirstParagraph"/>
      </w:pPr>
      <w:r>
        <w:rPr>
          <w:b/>
          <w:bCs/>
        </w:rPr>
        <w:t xml:space="preserve">Competitive Advantage Duration</w:t>
      </w:r>
      <w:r>
        <w:t xml:space="preserve">:</w:t>
      </w:r>
      <w:r>
        <w:t xml:space="preserve"> </w:t>
      </w:r>
      <w:r>
        <w:rPr>
          <w:b/>
          <w:bCs/>
        </w:rPr>
        <w:t xml:space="preserve">3-5 years</w:t>
      </w:r>
      <w:r>
        <w:t xml:space="preserve"> </w:t>
      </w:r>
      <w:r>
        <w:t xml:space="preserve">- Agilent, Thermo Fisher currently lack verification capabilities; if they develop/acquire, SRS maintains lead through regulatory precedents (first FDA acceptance, first EU conformity establishes SRS as reference implementation)</w:t>
      </w:r>
      <w:r>
        <w:t xml:space="preserve"> </w:t>
      </w:r>
      <w:r>
        <w:t xml:space="preserve">- By the time competitors achieve conformity (2027-2029), SRS will have 20-40 reference customers and established regulatory track record</w:t>
      </w:r>
    </w:p>
    <w:p>
      <w:pPr>
        <w:pStyle w:val="BodyText"/>
      </w:pPr>
      <w:r>
        <w:rPr>
          <w:b/>
          <w:bCs/>
        </w:rPr>
        <w:t xml:space="preserve">Pillar 2: Hallucination Prevention (Trust for Autonomous Operation)</w:t>
      </w:r>
    </w:p>
    <w:p>
      <w:pPr>
        <w:pStyle w:val="BodyText"/>
      </w:pPr>
      <w:r>
        <w:rPr>
          <w:b/>
          <w:bCs/>
        </w:rPr>
        <w:t xml:space="preserve">Customer Pain</w:t>
      </w:r>
      <w:r>
        <w:t xml:space="preserve">:</w:t>
      </w:r>
    </w:p>
    <w:p>
      <w:pPr>
        <w:pStyle w:val="Compact"/>
        <w:numPr>
          <w:ilvl w:val="0"/>
          <w:numId w:val="1079"/>
        </w:numPr>
      </w:pPr>
      <w:r>
        <w:t xml:space="preserve">Self-driving labs and pharmaceutical R&amp;D want AI autonomy but can’t trust unverified AI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Current State</w:t>
      </w:r>
      <w:r>
        <w:t xml:space="preserve">: AI suggests next experiment → human reviews → human approves → execute</w:t>
      </w:r>
    </w:p>
    <w:p>
      <w:pPr>
        <w:pStyle w:val="Compact"/>
        <w:numPr>
          <w:ilvl w:val="1"/>
          <w:numId w:val="1080"/>
        </w:numPr>
      </w:pPr>
      <w:r>
        <w:t xml:space="preserve">Human review bottleneck eliminates 50-70% of automation benefit (if AI requires human oversight, why automate?)</w:t>
      </w:r>
    </w:p>
    <w:p>
      <w:pPr>
        <w:pStyle w:val="Compact"/>
        <w:numPr>
          <w:ilvl w:val="1"/>
          <w:numId w:val="1080"/>
        </w:numPr>
      </w:pPr>
      <w:r>
        <w:t xml:space="preserve">Night/weekend operation impossible (requires human presence for approval)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Desired State</w:t>
      </w:r>
      <w:r>
        <w:t xml:space="preserve">: AI designs, executes, analyzes experiments autonomously 24/7</w:t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Blocker</w:t>
      </w:r>
      <w:r>
        <w:t xml:space="preserve">: What if AI hallucinates and wastes $10K-$50K in materials or creates safety hazard (explosion, toxic gas release)?</w:t>
      </w:r>
    </w:p>
    <w:p>
      <w:pPr>
        <w:pStyle w:val="FirstParagraph"/>
      </w:pPr>
      <w:r>
        <w:rPr>
          <w:b/>
          <w:bCs/>
        </w:rPr>
        <w:t xml:space="preserve">Traditional Vendor Approach</w:t>
      </w:r>
      <w:r>
        <w:t xml:space="preserve">:</w:t>
      </w:r>
    </w:p>
    <w:p>
      <w:pPr>
        <w:pStyle w:val="Compact"/>
        <w:numPr>
          <w:ilvl w:val="0"/>
          <w:numId w:val="1082"/>
        </w:numPr>
      </w:pPr>
      <w:r>
        <w:t xml:space="preserve">Vendors provide</w:t>
      </w:r>
      <w:r>
        <w:t xml:space="preserve"> </w:t>
      </w:r>
      <w:r>
        <w:t xml:space="preserve">“confidence scores”</w:t>
      </w:r>
      <w:r>
        <w:t xml:space="preserve"> </w:t>
      </w:r>
      <w:r>
        <w:t xml:space="preserve">(e.g.,</w:t>
      </w:r>
      <w:r>
        <w:t xml:space="preserve"> </w:t>
      </w:r>
      <w:r>
        <w:t xml:space="preserve">“AI is 95% confident this peak is compound X”</w:t>
      </w:r>
      <w:r>
        <w:t xml:space="preserve">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Problem</w:t>
      </w:r>
      <w:r>
        <w:t xml:space="preserve">: Confidence scores uncalibrated and misleading</w:t>
      </w:r>
    </w:p>
    <w:p>
      <w:pPr>
        <w:pStyle w:val="Compact"/>
        <w:numPr>
          <w:ilvl w:val="1"/>
          <w:numId w:val="1083"/>
        </w:numPr>
      </w:pPr>
      <w:r>
        <w:t xml:space="preserve">95% confidence doesn’t mean 95% accuracy (neural network confidence often overconfident for out-of-distribution inputs)</w:t>
      </w:r>
    </w:p>
    <w:p>
      <w:pPr>
        <w:pStyle w:val="Compact"/>
        <w:numPr>
          <w:ilvl w:val="1"/>
          <w:numId w:val="1083"/>
        </w:numPr>
      </w:pPr>
      <w:r>
        <w:t xml:space="preserve">Hallucination incidents (e.g., AI misidentifies GPCR target in drug screen, costing $500K in wasted synthesis) erode customer trust</w:t>
      </w:r>
    </w:p>
    <w:p>
      <w:pPr>
        <w:pStyle w:val="Compact"/>
        <w:numPr>
          <w:ilvl w:val="0"/>
          <w:numId w:val="1082"/>
        </w:numPr>
      </w:pPr>
      <w:r>
        <w:t xml:space="preserve">Result: Customers require human-in-the-loop for all AI decisions, limiting automation value</w:t>
      </w:r>
    </w:p>
    <w:p>
      <w:pPr>
        <w:pStyle w:val="FirstParagraph"/>
      </w:pPr>
      <w:r>
        <w:rPr>
          <w:b/>
          <w:bCs/>
        </w:rPr>
        <w:t xml:space="preserve">SRS Differentiation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Provable Absence of Hallucinations</w:t>
      </w:r>
      <w:r>
        <w:t xml:space="preserve">: Formal verification mathematically proves AI cannot output results outside specification</w:t>
      </w:r>
    </w:p>
    <w:p>
      <w:pPr>
        <w:pStyle w:val="Compact"/>
        <w:numPr>
          <w:ilvl w:val="1"/>
          <w:numId w:val="1085"/>
        </w:numPr>
      </w:pPr>
      <w:r>
        <w:t xml:space="preserve">Example: Peak detection AI verified to</w:t>
      </w:r>
      <w:r>
        <w:t xml:space="preserve"> </w:t>
      </w:r>
      <w:r>
        <w:rPr>
          <w:b/>
          <w:bCs/>
        </w:rPr>
        <w:t xml:space="preserve">never hallucinate peaks</w:t>
      </w:r>
      <w:r>
        <w:t xml:space="preserve"> </w:t>
      </w:r>
      <w:r>
        <w:t xml:space="preserve">(false positives) or</w:t>
      </w:r>
      <w:r>
        <w:t xml:space="preserve"> </w:t>
      </w:r>
      <w:r>
        <w:rPr>
          <w:b/>
          <w:bCs/>
        </w:rPr>
        <w:t xml:space="preserve">miss peaks above S/N threshold</w:t>
      </w:r>
      <w:r>
        <w:t xml:space="preserve"> </w:t>
      </w:r>
      <w:r>
        <w:t xml:space="preserve">(false negatives)</w:t>
      </w:r>
    </w:p>
    <w:p>
      <w:pPr>
        <w:pStyle w:val="Compact"/>
        <w:numPr>
          <w:ilvl w:val="1"/>
          <w:numId w:val="1085"/>
        </w:numPr>
      </w:pPr>
      <w:r>
        <w:t xml:space="preserve">For all possible inputs in defined domain (e.g., all chromatograms with S/N 1-10,000), AI behavior proven correct</w:t>
      </w:r>
    </w:p>
    <w:p>
      <w:pPr>
        <w:pStyle w:val="Compact"/>
        <w:numPr>
          <w:ilvl w:val="1"/>
          <w:numId w:val="1085"/>
        </w:numPr>
      </w:pPr>
      <w:r>
        <w:t xml:space="preserve">Eliminates hallucination risk (probability of AI error = 0 within verified domain, vs. unverified AI with unknown error rate)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Explainable AI with Formal Provenance</w:t>
      </w:r>
      <w:r>
        <w:t xml:space="preserve">: AI decisions accompanied by verification proof explaining logic</w:t>
      </w:r>
    </w:p>
    <w:p>
      <w:pPr>
        <w:pStyle w:val="Compact"/>
        <w:numPr>
          <w:ilvl w:val="1"/>
          <w:numId w:val="1086"/>
        </w:numPr>
      </w:pPr>
      <w:r>
        <w:t xml:space="preserve">Auditor asks:</w:t>
      </w:r>
      <w:r>
        <w:t xml:space="preserve"> </w:t>
      </w:r>
      <w:r>
        <w:rPr>
          <w:i/>
          <w:iCs/>
        </w:rPr>
        <w:t xml:space="preserve">“Why did AI identify this peak as impurity X?”</w:t>
      </w:r>
    </w:p>
    <w:p>
      <w:pPr>
        <w:pStyle w:val="Compact"/>
        <w:numPr>
          <w:ilvl w:val="1"/>
          <w:numId w:val="1086"/>
        </w:numPr>
      </w:pPr>
      <w:r>
        <w:t xml:space="preserve">SRS system provides: Mathematical proof showing (1) spectral match score &gt;0.95, (2) retention time within ±0.1 min of reference, (3) peak area matches concentration calibration curve, (4) verification certificate cryptographically signed by trusted authority</w:t>
      </w:r>
    </w:p>
    <w:p>
      <w:pPr>
        <w:pStyle w:val="Compact"/>
        <w:numPr>
          <w:ilvl w:val="1"/>
          <w:numId w:val="1086"/>
        </w:numPr>
      </w:pPr>
      <w:r>
        <w:t xml:space="preserve">Audit trail captures full decision provenance (which AI model version, which verification proof, which data inputs, which logic path taken)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Safe Autonomous Operation</w:t>
      </w:r>
      <w:r>
        <w:t xml:space="preserve">: Verified AI enables lights-out laboratory operation</w:t>
      </w:r>
    </w:p>
    <w:p>
      <w:pPr>
        <w:pStyle w:val="Compact"/>
        <w:numPr>
          <w:ilvl w:val="1"/>
          <w:numId w:val="1087"/>
        </w:numPr>
      </w:pPr>
      <w:r>
        <w:t xml:space="preserve">Self-driving labs run 24/7 without human oversight (materials discovery experiments execute continuously for weeks/months)</w:t>
      </w:r>
    </w:p>
    <w:p>
      <w:pPr>
        <w:pStyle w:val="Compact"/>
        <w:numPr>
          <w:ilvl w:val="1"/>
          <w:numId w:val="1087"/>
        </w:numPr>
      </w:pPr>
      <w:r>
        <w:t xml:space="preserve">Pharma QC labs process batch release testing overnight and weekends (accelerate time-to-market by 2-4 weeks per batch)</w:t>
      </w:r>
    </w:p>
    <w:p>
      <w:pPr>
        <w:pStyle w:val="Compact"/>
        <w:numPr>
          <w:ilvl w:val="1"/>
          <w:numId w:val="1087"/>
        </w:numPr>
      </w:pPr>
      <w:r>
        <w:t xml:space="preserve">Clinical labs achieve</w:t>
      </w:r>
      <w:r>
        <w:t xml:space="preserve"> </w:t>
      </w:r>
      <w:r>
        <w:t xml:space="preserve">“lights-out”</w:t>
      </w:r>
      <w:r>
        <w:t xml:space="preserve"> </w:t>
      </w:r>
      <w:r>
        <w:t xml:space="preserve">automation for routine testing (reduce labor costs 30-50%, address staffing shortages)</w:t>
      </w:r>
    </w:p>
    <w:p>
      <w:pPr>
        <w:pStyle w:val="FirstParagraph"/>
      </w:pPr>
      <w:r>
        <w:rPr>
          <w:b/>
          <w:bCs/>
        </w:rPr>
        <w:t xml:space="preserve">Value Quantification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Self-Driving Lab Example (Annual Value):</w:t>
      </w:r>
      <w:r>
        <w:br/>
      </w:r>
      <w:r>
        <w:rPr>
          <w:rStyle w:val="VerbatimChar"/>
        </w:rPr>
        <w:t xml:space="preserve">- Materials waste avoidance: $150K (vs. $200K waste from AI hallucinations at 5-10% rate)</w:t>
      </w:r>
      <w:r>
        <w:br/>
      </w:r>
      <w:r>
        <w:rPr>
          <w:rStyle w:val="VerbatimChar"/>
        </w:rPr>
        <w:t xml:space="preserve">- Throughput gain: $500K NPV (2-3x acceleration × $750K annual lab operating budget efficiency)</w:t>
      </w:r>
      <w:r>
        <w:br/>
      </w:r>
      <w:r>
        <w:rPr>
          <w:rStyle w:val="VerbatimChar"/>
        </w:rPr>
        <w:t xml:space="preserve">- Labor savings: $200K (reduce human oversight from 2 FTEs to 0.5 FTE)</w:t>
      </w:r>
      <w:r>
        <w:br/>
      </w:r>
      <w:r>
        <w:rPr>
          <w:rStyle w:val="VerbatimChar"/>
        </w:rPr>
        <w:t xml:space="preserve">- Safety risk mitigation: $100K (avoided lab evacuations, insurance premium reduction)</w:t>
      </w:r>
      <w:r>
        <w:br/>
      </w:r>
      <w:r>
        <w:rPr>
          <w:rStyle w:val="VerbatimChar"/>
        </w:rPr>
        <w:t xml:space="preserve">Total Annual Value: $950K</w:t>
      </w:r>
      <w:r>
        <w:br/>
      </w:r>
      <w:r>
        <w:br/>
      </w:r>
      <w:r>
        <w:rPr>
          <w:rStyle w:val="VerbatimChar"/>
        </w:rPr>
        <w:t xml:space="preserve">Pharma QC Lab Example (Annual Value per Instrument):</w:t>
      </w:r>
      <w:r>
        <w:br/>
      </w:r>
      <w:r>
        <w:rPr>
          <w:rStyle w:val="VerbatimChar"/>
        </w:rPr>
        <w:t xml:space="preserve">- Throughput gain: $200K (24/7 operation vs. 8-16 hours, 2x capacity)</w:t>
      </w:r>
      <w:r>
        <w:br/>
      </w:r>
      <w:r>
        <w:rPr>
          <w:rStyle w:val="VerbatimChar"/>
        </w:rPr>
        <w:t xml:space="preserve">- Labor savings: $100K (automated result review reduces manual QC by 0.5-1 FTE)</w:t>
      </w:r>
      <w:r>
        <w:br/>
      </w:r>
      <w:r>
        <w:rPr>
          <w:rStyle w:val="VerbatimChar"/>
        </w:rPr>
        <w:t xml:space="preserve">- Time-to-market acceleration: $500K-$2M (2-4 week batch release acceleration × $10M-$50M monthly product revenue)</w:t>
      </w:r>
      <w:r>
        <w:br/>
      </w:r>
      <w:r>
        <w:rPr>
          <w:rStyle w:val="VerbatimChar"/>
        </w:rPr>
        <w:t xml:space="preserve">Total Annual Value: $800K-$2.3M</w:t>
      </w:r>
    </w:p>
    <w:p>
      <w:pPr>
        <w:pStyle w:val="FirstParagraph"/>
      </w:pPr>
      <w:r>
        <w:rPr>
          <w:b/>
          <w:bCs/>
        </w:rPr>
        <w:t xml:space="preserve">Competitive Advantage Duration</w:t>
      </w:r>
      <w:r>
        <w:t xml:space="preserve">:</w:t>
      </w:r>
      <w:r>
        <w:t xml:space="preserve"> </w:t>
      </w:r>
      <w:r>
        <w:rPr>
          <w:b/>
          <w:bCs/>
        </w:rPr>
        <w:t xml:space="preserve">5-7 years</w:t>
      </w:r>
      <w:r>
        <w:t xml:space="preserve"> </w:t>
      </w:r>
      <w:r>
        <w:t xml:space="preserve">- Formal verification is hard problem requiring specialized expertise (formal methods PhDs); competitors need 2-4 years to develop equivalent capability</w:t>
      </w:r>
      <w:r>
        <w:t xml:space="preserve"> </w:t>
      </w:r>
      <w:r>
        <w:t xml:space="preserve">- Network effects: More SRS deployments → more verified methods library (chromatography methods, spectral interpretation models, etc.) → harder for competitors to catch up</w:t>
      </w:r>
      <w:r>
        <w:t xml:space="preserve"> </w:t>
      </w:r>
      <w:r>
        <w:t xml:space="preserve">- By 2030, SRS will have verified 100-200 analytical methods across pharma and SDL customers, creating substantial IP barrier</w:t>
      </w:r>
    </w:p>
    <w:p>
      <w:pPr>
        <w:pStyle w:val="BodyText"/>
      </w:pPr>
      <w:r>
        <w:rPr>
          <w:b/>
          <w:bCs/>
        </w:rPr>
        <w:t xml:space="preserve">Pillar 3: Integration Depth (Firmware-Embedded, Not Software Bolt-On)</w:t>
      </w:r>
    </w:p>
    <w:p>
      <w:pPr>
        <w:pStyle w:val="BodyText"/>
      </w:pPr>
      <w:r>
        <w:rPr>
          <w:b/>
          <w:bCs/>
        </w:rPr>
        <w:t xml:space="preserve">Customer Pain</w:t>
      </w:r>
      <w:r>
        <w:t xml:space="preserve">:</w:t>
      </w:r>
    </w:p>
    <w:p>
      <w:pPr>
        <w:pStyle w:val="Compact"/>
        <w:numPr>
          <w:ilvl w:val="0"/>
          <w:numId w:val="1088"/>
        </w:numPr>
      </w:pPr>
      <w:r>
        <w:t xml:space="preserve">Bolt-on AI solutions (software layer on top of existing instruments) create integration friction</w:t>
      </w:r>
    </w:p>
    <w:p>
      <w:pPr>
        <w:pStyle w:val="Compact"/>
        <w:numPr>
          <w:ilvl w:val="0"/>
          <w:numId w:val="1088"/>
        </w:numPr>
      </w:pPr>
      <w:r>
        <w:t xml:space="preserve">Typical workflow: Data export from instrument → AI analysis in separate software → Results import into LIMS</w:t>
      </w:r>
    </w:p>
    <w:p>
      <w:pPr>
        <w:pStyle w:val="Compact"/>
        <w:numPr>
          <w:ilvl w:val="0"/>
          <w:numId w:val="1088"/>
        </w:numPr>
      </w:pPr>
      <w:r>
        <w:t xml:space="preserve">Each interface is potential failure point (data format mismatches, communication timeouts, version incompatibilities)</w:t>
      </w:r>
    </w:p>
    <w:p>
      <w:pPr>
        <w:pStyle w:val="Compact"/>
        <w:numPr>
          <w:ilvl w:val="0"/>
          <w:numId w:val="1088"/>
        </w:numPr>
      </w:pPr>
      <w:r>
        <w:t xml:space="preserve">Real-time control impossible (software layer can’t adjust instrument parameters during run due to latency and lack of firmware access)</w:t>
      </w:r>
    </w:p>
    <w:p>
      <w:pPr>
        <w:pStyle w:val="FirstParagraph"/>
      </w:pPr>
      <w:r>
        <w:rPr>
          <w:b/>
          <w:bCs/>
        </w:rPr>
        <w:t xml:space="preserve">Traditional Vendor Approach</w:t>
      </w:r>
      <w:r>
        <w:t xml:space="preserve">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Keysight PathWave</w:t>
      </w:r>
      <w:r>
        <w:t xml:space="preserve">: Software platform connects to instruments via GPIB/SCPI (Standard Commands for Programmable Instruments), but instruments themselves not AI-native</w:t>
      </w:r>
    </w:p>
    <w:p>
      <w:pPr>
        <w:pStyle w:val="Compact"/>
        <w:numPr>
          <w:ilvl w:val="1"/>
          <w:numId w:val="1090"/>
        </w:numPr>
      </w:pPr>
      <w:r>
        <w:t xml:space="preserve">Instruments collect data, PathWave analyzes post-acquisition (batch processing, 50-200ms latency)</w:t>
      </w:r>
    </w:p>
    <w:p>
      <w:pPr>
        <w:pStyle w:val="Compact"/>
        <w:numPr>
          <w:ilvl w:val="1"/>
          <w:numId w:val="1090"/>
        </w:numPr>
      </w:pPr>
      <w:r>
        <w:t xml:space="preserve">No closed-loop control (PathWave can’t adjust instrument settings mid-run)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Agilent OpenLab</w:t>
      </w:r>
      <w:r>
        <w:t xml:space="preserve">: Informatics layer on top of instruments for data management and post-acquisition analysis</w:t>
      </w:r>
    </w:p>
    <w:p>
      <w:pPr>
        <w:pStyle w:val="Compact"/>
        <w:numPr>
          <w:ilvl w:val="1"/>
          <w:numId w:val="1091"/>
        </w:numPr>
      </w:pPr>
      <w:r>
        <w:t xml:space="preserve">Predictive maintenance analytics run in cloud, not on instrument (requires cloud connectivity, 100-500ms latency)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Thermo SampleManager</w:t>
      </w:r>
      <w:r>
        <w:t xml:space="preserve">: LIMS integrates instrument data, but no closed-loop control</w:t>
      </w:r>
    </w:p>
    <w:p>
      <w:pPr>
        <w:pStyle w:val="Compact"/>
        <w:numPr>
          <w:ilvl w:val="1"/>
          <w:numId w:val="1092"/>
        </w:numPr>
      </w:pPr>
      <w:r>
        <w:t xml:space="preserve">SampleManager schedules analyses, instruments execute, results uploaded post-run (batch workflow)</w:t>
      </w:r>
    </w:p>
    <w:p>
      <w:pPr>
        <w:pStyle w:val="FirstParagraph"/>
      </w:pPr>
      <w:r>
        <w:rPr>
          <w:b/>
          <w:bCs/>
        </w:rPr>
        <w:t xml:space="preserve">SRS Differentiation</w:t>
      </w:r>
      <w:r>
        <w:t xml:space="preserve">: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Firmware-Embedded Verification</w:t>
      </w:r>
      <w:r>
        <w:t xml:space="preserve">: Hupyy AI verification integrated into instrument firmware, not external software</w:t>
      </w:r>
    </w:p>
    <w:p>
      <w:pPr>
        <w:pStyle w:val="Compact"/>
        <w:numPr>
          <w:ilvl w:val="1"/>
          <w:numId w:val="1094"/>
        </w:numPr>
      </w:pPr>
      <w:r>
        <w:t xml:space="preserve">AI runs on instrument controller (ARM Cortex-A57 or similar embedded processor, 4-8 cores, 2-4 GB RAM)</w:t>
      </w:r>
    </w:p>
    <w:p>
      <w:pPr>
        <w:pStyle w:val="Compact"/>
        <w:numPr>
          <w:ilvl w:val="1"/>
          <w:numId w:val="1094"/>
        </w:numPr>
      </w:pPr>
      <w:r>
        <w:t xml:space="preserve">Verification co-processor validates AI outputs before actuating instrument (hardware safety interlock, &lt;1ms latency)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Advantage</w:t>
      </w:r>
      <w:r>
        <w:t xml:space="preserve">: Real-time verification (1-10ms) vs. cloud/software verification (50-200ms) enables closed-loop control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Closed-Loop Autonomous Control</w:t>
      </w:r>
      <w:r>
        <w:t xml:space="preserve">: Verified AI adjusts instrument parameters in real-time during analysis</w:t>
      </w:r>
    </w:p>
    <w:p>
      <w:pPr>
        <w:pStyle w:val="Compact"/>
        <w:numPr>
          <w:ilvl w:val="1"/>
          <w:numId w:val="1095"/>
        </w:numPr>
      </w:pPr>
      <w:r>
        <w:t xml:space="preserve">Example 1: Lock-in amplifier AI detects signal drift → verified AI adjusts phase/gain to restore signal quality → measurement continues uninterrupted</w:t>
      </w:r>
    </w:p>
    <w:p>
      <w:pPr>
        <w:pStyle w:val="Compact"/>
        <w:numPr>
          <w:ilvl w:val="1"/>
          <w:numId w:val="1095"/>
        </w:numPr>
      </w:pPr>
      <w:r>
        <w:t xml:space="preserve">Example 2: Chromatography AI predicts peak resolution will degrade → verified AI adjusts gradient slope mid-run → maintains baseline separation</w:t>
      </w:r>
    </w:p>
    <w:p>
      <w:pPr>
        <w:pStyle w:val="Compact"/>
        <w:numPr>
          <w:ilvl w:val="1"/>
          <w:numId w:val="1095"/>
        </w:numPr>
      </w:pPr>
      <w:r>
        <w:t xml:space="preserve">Example 3: Mass spectrometer AI detects ion source contamination → verified AI adjusts source temperature/voltage to compensate → extends source lifetime 20-30%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Advantage</w:t>
      </w:r>
      <w:r>
        <w:t xml:space="preserve">: No human intervention required, no external software dependency, 99%+ uptime (vs. batch processing requiring operator intervention)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Digital Twin Integration</w:t>
      </w:r>
      <w:r>
        <w:t xml:space="preserve">: Instrument firmware includes digital twin for in-situ simulation</w:t>
      </w:r>
    </w:p>
    <w:p>
      <w:pPr>
        <w:pStyle w:val="Compact"/>
        <w:numPr>
          <w:ilvl w:val="1"/>
          <w:numId w:val="1096"/>
        </w:numPr>
      </w:pPr>
      <w:r>
        <w:t xml:space="preserve">Before executing AI command, simulate in digital twin → verify safe and effective → execute on physical instrument</w:t>
      </w:r>
    </w:p>
    <w:p>
      <w:pPr>
        <w:pStyle w:val="Compact"/>
        <w:numPr>
          <w:ilvl w:val="1"/>
          <w:numId w:val="1096"/>
        </w:numPr>
      </w:pPr>
      <w:r>
        <w:t xml:space="preserve">Example: AI suggests adjusting chromatography mobile phase composition → digital twin simulates new conditions → verification proves acceptable peak resolution → apply to real column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Advantage</w:t>
      </w:r>
      <w:r>
        <w:t xml:space="preserve">: Risk-free experimentation (test AI suggestions in simulation before physical execution), faster method development (reduce trial-and-error cycles by 50-70%)</w:t>
      </w:r>
    </w:p>
    <w:p>
      <w:pPr>
        <w:pStyle w:val="FirstParagraph"/>
      </w:pPr>
      <w:r>
        <w:rPr>
          <w:b/>
          <w:bCs/>
        </w:rPr>
        <w:t xml:space="preserve">Value Quantification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Integration Cost Savings (per Installation):</w:t>
      </w:r>
      <w:r>
        <w:br/>
      </w:r>
      <w:r>
        <w:rPr>
          <w:rStyle w:val="VerbatimChar"/>
        </w:rPr>
        <w:t xml:space="preserve">- No middleware development: $50K-$100K (vs. custom integration projects for bolt-on AI)</w:t>
      </w:r>
      <w:r>
        <w:br/>
      </w:r>
      <w:r>
        <w:rPr>
          <w:rStyle w:val="VerbatimChar"/>
        </w:rPr>
        <w:t xml:space="preserve">- Reduced IT support: $30K annually (no external software to maintain, patch, troubleshoot)</w:t>
      </w:r>
      <w:r>
        <w:br/>
      </w:r>
      <w:r>
        <w:rPr>
          <w:rStyle w:val="VerbatimChar"/>
        </w:rPr>
        <w:t xml:space="preserve">- Faster deployment: 2-4 weeks vs. 2-4 months (firmware update vs. software installation + validation)</w:t>
      </w:r>
      <w:r>
        <w:br/>
      </w:r>
      <w:r>
        <w:br/>
      </w:r>
      <w:r>
        <w:rPr>
          <w:rStyle w:val="VerbatimChar"/>
        </w:rPr>
        <w:t xml:space="preserve">Real-Time Control Value (Annual per Instrument):</w:t>
      </w:r>
      <w:r>
        <w:br/>
      </w:r>
      <w:r>
        <w:rPr>
          <w:rStyle w:val="VerbatimChar"/>
        </w:rPr>
        <w:t xml:space="preserve">- Process optimization: $75K-$200K (closed-loop control improves yield, reduces waste)</w:t>
      </w:r>
      <w:r>
        <w:br/>
      </w:r>
      <w:r>
        <w:rPr>
          <w:rStyle w:val="VerbatimChar"/>
        </w:rPr>
        <w:t xml:space="preserve">- Reduced rework: $50K-$100K (AI prevents method failures before they occur)</w:t>
      </w:r>
      <w:r>
        <w:br/>
      </w:r>
      <w:r>
        <w:rPr>
          <w:rStyle w:val="VerbatimChar"/>
        </w:rPr>
        <w:t xml:space="preserve">- Extended consumable life: $30K-$75K (AI optimizes usage, reduces wear)</w:t>
      </w:r>
      <w:r>
        <w:br/>
      </w:r>
      <w:r>
        <w:br/>
      </w:r>
      <w:r>
        <w:rPr>
          <w:rStyle w:val="VerbatimChar"/>
        </w:rPr>
        <w:t xml:space="preserve">Reliability Value:</w:t>
      </w:r>
      <w:r>
        <w:br/>
      </w:r>
      <w:r>
        <w:rPr>
          <w:rStyle w:val="VerbatimChar"/>
        </w:rPr>
        <w:t xml:space="preserve">- 99%+ uptime: $100K-$300K annually (vs. 95% uptime with software dependencies, network failures)</w:t>
      </w:r>
      <w:r>
        <w:br/>
      </w:r>
      <w:r>
        <w:rPr>
          <w:rStyle w:val="VerbatimChar"/>
        </w:rPr>
        <w:t xml:space="preserve">- No cloud dependency: $50K risk mitigation (instruments operate autonomously during internet outages)</w:t>
      </w:r>
    </w:p>
    <w:p>
      <w:pPr>
        <w:pStyle w:val="FirstParagraph"/>
      </w:pPr>
      <w:r>
        <w:rPr>
          <w:b/>
          <w:bCs/>
        </w:rPr>
        <w:t xml:space="preserve">Competitive Advantage Duration</w:t>
      </w:r>
      <w:r>
        <w:t xml:space="preserve">:</w:t>
      </w:r>
      <w:r>
        <w:t xml:space="preserve"> </w:t>
      </w:r>
      <w:r>
        <w:rPr>
          <w:b/>
          <w:bCs/>
        </w:rPr>
        <w:t xml:space="preserve">4-6 years</w:t>
      </w:r>
      <w:r>
        <w:t xml:space="preserve"> </w:t>
      </w:r>
      <w:r>
        <w:t xml:space="preserve">- Embedding verification in firmware requires deep instrument expertise (SRS’s 40-year heritage advantage)</w:t>
      </w:r>
      <w:r>
        <w:t xml:space="preserve"> </w:t>
      </w:r>
      <w:r>
        <w:t xml:space="preserve">- Competitors with software-only approaches (PerkinElmer Signals, Keysight PathWave) cannot replicate without redesigning instruments from ground up</w:t>
      </w:r>
      <w:r>
        <w:t xml:space="preserve"> </w:t>
      </w:r>
      <w:r>
        <w:t xml:space="preserve">- Agilent, Thermo Fisher have instrument design capabilities, but integration timeline estimated 3-5 years (instrument redesign + firmware development + regulatory revalidation)</w:t>
      </w:r>
    </w:p>
    <w:bookmarkEnd w:id="40"/>
    <w:bookmarkStart w:id="41" w:name="X5557d39170e5a49fdb243bc268dd27bed29ccf3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Competitive Moat Analysis (Porter’s Five Forces)</w:t>
      </w:r>
    </w:p>
    <w:p>
      <w:pPr>
        <w:pStyle w:val="FirstParagraph"/>
      </w:pPr>
      <w:r>
        <w:rPr>
          <w:b/>
          <w:bCs/>
        </w:rPr>
        <w:t xml:space="preserve">1. Threat of New Entrants: Low-Medium</w:t>
      </w:r>
    </w:p>
    <w:p>
      <w:pPr>
        <w:pStyle w:val="BodyText"/>
      </w:pPr>
      <w:r>
        <w:rPr>
          <w:b/>
          <w:bCs/>
        </w:rPr>
        <w:t xml:space="preserve">Barriers to Entry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High R&amp;D Investment</w:t>
      </w:r>
      <w:r>
        <w:t xml:space="preserve">: $3M-$8M to develop formal verification capabilities (Hupyy-equivalent technology requires 2-4 years, team of 10-20 formal methods PhDs at $300K-$500K annual comp)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Specialized Expertise</w:t>
      </w:r>
      <w:r>
        <w:t xml:space="preserve">: Formal verification talent pool extremely limited (globally ~100-200 formal methods PhDs graduating annually, most absorbed by aerospace, defense, tech giants)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Regulatory Complexity</w:t>
      </w:r>
      <w:r>
        <w:t xml:space="preserve">: EU AI Act conformity assessment requires 12-24 months for first submission (learning curve), notified body relationships take years to establish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Customer Inertia</w:t>
      </w:r>
      <w:r>
        <w:t xml:space="preserve">: Pharmaceutical customers prefer established vendors with regulatory track records (unknown startups face 18-24 month sales cycles even with superior technology)</w:t>
      </w:r>
    </w:p>
    <w:p>
      <w:pPr>
        <w:pStyle w:val="FirstParagraph"/>
      </w:pPr>
      <w:r>
        <w:rPr>
          <w:b/>
          <w:bCs/>
        </w:rPr>
        <w:t xml:space="preserve">Entry Probability</w:t>
      </w:r>
      <w:r>
        <w:t xml:space="preserve">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Startups</w:t>
      </w:r>
      <w:r>
        <w:t xml:space="preserve">: Low (capital intensive, specialized expertise required, long sales cycles discourage VC funding)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Incumbents via M&amp;A</w:t>
      </w:r>
      <w:r>
        <w:t xml:space="preserve">: Medium-High (Agilent, Thermo Fisher, Keysight have M&amp;A budgets and strategic motivation to acquire AI verification capabilities)</w:t>
      </w:r>
    </w:p>
    <w:p>
      <w:pPr>
        <w:pStyle w:val="Compact"/>
        <w:numPr>
          <w:ilvl w:val="1"/>
          <w:numId w:val="1099"/>
        </w:numPr>
      </w:pPr>
      <w:r>
        <w:rPr>
          <w:b/>
          <w:bCs/>
        </w:rPr>
        <w:t xml:space="preserve">Hupyy Acquisition Risk</w:t>
      </w:r>
      <w:r>
        <w:t xml:space="preserve">: 40% probability Agilent/Thermo Fisher acquires Hupyy for $50M-$100M by 2027-2028</w:t>
      </w:r>
    </w:p>
    <w:p>
      <w:pPr>
        <w:pStyle w:val="Compact"/>
        <w:numPr>
          <w:ilvl w:val="1"/>
          <w:numId w:val="1099"/>
        </w:numPr>
      </w:pPr>
      <w:r>
        <w:rPr>
          <w:b/>
          <w:bCs/>
        </w:rPr>
        <w:t xml:space="preserve">Mitigation</w:t>
      </w:r>
      <w:r>
        <w:t xml:space="preserve">: SRS negotiates exclusivity clause with Hupyy for laboratory instrumentation segment, or SRS acquires Hupyy outright ($30M-$50M)</w:t>
      </w:r>
    </w:p>
    <w:p>
      <w:pPr>
        <w:pStyle w:val="FirstParagraph"/>
      </w:pPr>
      <w:r>
        <w:rPr>
          <w:b/>
          <w:bCs/>
        </w:rPr>
        <w:t xml:space="preserve">2. Bargaining Power of Suppliers: Low-Medium</w:t>
      </w:r>
    </w:p>
    <w:p>
      <w:pPr>
        <w:pStyle w:val="BodyText"/>
      </w:pPr>
      <w:r>
        <w:rPr>
          <w:b/>
          <w:bCs/>
        </w:rPr>
        <w:t xml:space="preserve">Key Suppliers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Hupyy AI</w:t>
      </w:r>
      <w:r>
        <w:t xml:space="preserve"> </w:t>
      </w:r>
      <w:r>
        <w:t xml:space="preserve">(formal verification IP): Critical supplier, single source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Risk</w:t>
      </w:r>
      <w:r>
        <w:t xml:space="preserve">: Hupyy dependency creates supplier power (Hupyy could increase licensing fees 50-100% if SRS successful, or license to SRS competitors)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Mitigation</w:t>
      </w:r>
      <w:r>
        <w:t xml:space="preserve">: (1) Long-term partnership agreement with price caps and exclusivity, (2) SRS builds in-house formal verification team to reduce dependency by 2027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Component Suppliers</w:t>
      </w:r>
      <w:r>
        <w:t xml:space="preserve"> </w:t>
      </w:r>
      <w:r>
        <w:t xml:space="preserve">(IoT sensors, edge computing hardware): Commoditized</w:t>
      </w:r>
    </w:p>
    <w:p>
      <w:pPr>
        <w:pStyle w:val="Compact"/>
        <w:numPr>
          <w:ilvl w:val="1"/>
          <w:numId w:val="1102"/>
        </w:numPr>
      </w:pPr>
      <w:r>
        <w:t xml:space="preserve">Accelerometers: Analog Devices, STMicroelectronics, Bosch (multiple sources, competitive pricing)</w:t>
      </w:r>
    </w:p>
    <w:p>
      <w:pPr>
        <w:pStyle w:val="Compact"/>
        <w:numPr>
          <w:ilvl w:val="1"/>
          <w:numId w:val="1102"/>
        </w:numPr>
      </w:pPr>
      <w:r>
        <w:t xml:space="preserve">Edge computing: NVIDIA Jetson, Google Coral, Intel Movidius (multiple options, rapid price declines 20-30% annually)</w:t>
      </w:r>
    </w:p>
    <w:p>
      <w:pPr>
        <w:pStyle w:val="Compact"/>
        <w:numPr>
          <w:ilvl w:val="1"/>
          <w:numId w:val="1102"/>
        </w:numPr>
      </w:pPr>
      <w:r>
        <w:t xml:space="preserve">Overall: Low supplier power (standard components, multiple vendors, competitive market)</w:t>
      </w:r>
    </w:p>
    <w:p>
      <w:pPr>
        <w:pStyle w:val="FirstParagraph"/>
      </w:pPr>
      <w:r>
        <w:rPr>
          <w:b/>
          <w:bCs/>
        </w:rPr>
        <w:t xml:space="preserve">Overall Supplier Power</w:t>
      </w:r>
      <w:r>
        <w:t xml:space="preserve">: Low except Hupyy (manageable via partnership terms and in-house capability development)</w:t>
      </w:r>
    </w:p>
    <w:p>
      <w:pPr>
        <w:pStyle w:val="BodyText"/>
      </w:pPr>
      <w:r>
        <w:rPr>
          <w:b/>
          <w:bCs/>
        </w:rPr>
        <w:t xml:space="preserve">3. Bargaining Power of Buyers: Medium</w:t>
      </w:r>
    </w:p>
    <w:p>
      <w:pPr>
        <w:pStyle w:val="BodyText"/>
      </w:pPr>
      <w:r>
        <w:rPr>
          <w:b/>
          <w:bCs/>
        </w:rPr>
        <w:t xml:space="preserve">Customer Concentration</w:t>
      </w:r>
      <w:r>
        <w:t xml:space="preserve">:</w:t>
      </w:r>
    </w:p>
    <w:p>
      <w:pPr>
        <w:pStyle w:val="Compact"/>
        <w:numPr>
          <w:ilvl w:val="0"/>
          <w:numId w:val="1103"/>
        </w:numPr>
      </w:pPr>
      <w:r>
        <w:t xml:space="preserve">Top 20 pharmaceutical companies represent 40-50% of revenue potential (concentrated buyer base)</w:t>
      </w:r>
    </w:p>
    <w:p>
      <w:pPr>
        <w:pStyle w:val="Compact"/>
        <w:numPr>
          <w:ilvl w:val="0"/>
          <w:numId w:val="1103"/>
        </w:numPr>
      </w:pPr>
      <w:r>
        <w:t xml:space="preserve">Single large pharma (e.g., Pfizer with $81B revenue) could purchase 10-20 SRS instruments over 5 years ($4M-$8M contract value)</w:t>
      </w:r>
    </w:p>
    <w:p>
      <w:pPr>
        <w:pStyle w:val="Compact"/>
        <w:numPr>
          <w:ilvl w:val="0"/>
          <w:numId w:val="1103"/>
        </w:numPr>
      </w:pPr>
      <w:r>
        <w:t xml:space="preserve">Buyer power increases for enterprise-wide deployments (volume discounts, customization demands, SLA requirements)</w:t>
      </w:r>
    </w:p>
    <w:p>
      <w:pPr>
        <w:pStyle w:val="FirstParagraph"/>
      </w:pPr>
      <w:r>
        <w:rPr>
          <w:b/>
          <w:bCs/>
        </w:rPr>
        <w:t xml:space="preserve">Switching Costs</w:t>
      </w:r>
      <w:r>
        <w:t xml:space="preserve">: Medium-High</w:t>
      </w:r>
      <w:r>
        <w:t xml:space="preserve"> </w:t>
      </w:r>
      <w:r>
        <w:t xml:space="preserve">- Once SRS instruments deployed and integrated with LIMS ($50K-$150K integration investment), validated for GMP use ($30K-$80K validation), and staff trained (2-5 days training per user), switching cost to competitor is $80K-$230K</w:t>
      </w:r>
      <w:r>
        <w:t xml:space="preserve"> </w:t>
      </w:r>
      <w:r>
        <w:t xml:space="preserve">- Multi-year SaaS contracts (software licenses) create additional switching friction (1-3 year lock-in)</w:t>
      </w:r>
      <w:r>
        <w:t xml:space="preserve"> </w:t>
      </w:r>
      <w:r>
        <w:t xml:space="preserve">- Verified methods library accumulation (each new chromatography method verified costs $10K-$30K) increases switching cost over time</w:t>
      </w:r>
    </w:p>
    <w:p>
      <w:pPr>
        <w:pStyle w:val="BodyText"/>
      </w:pPr>
      <w:r>
        <w:rPr>
          <w:b/>
          <w:bCs/>
        </w:rPr>
        <w:t xml:space="preserve">Differentiation Impact</w:t>
      </w:r>
      <w:r>
        <w:t xml:space="preserve">:</w:t>
      </w:r>
    </w:p>
    <w:p>
      <w:pPr>
        <w:pStyle w:val="Compact"/>
        <w:numPr>
          <w:ilvl w:val="0"/>
          <w:numId w:val="1104"/>
        </w:numPr>
      </w:pPr>
      <w:r>
        <w:t xml:space="preserve">SRS’s unique verified AI reduces buyer power (customers have no alternative for mathematical proof of AI correctness)</w:t>
      </w:r>
    </w:p>
    <w:p>
      <w:pPr>
        <w:pStyle w:val="Compact"/>
        <w:numPr>
          <w:ilvl w:val="0"/>
          <w:numId w:val="1104"/>
        </w:numPr>
      </w:pPr>
      <w:r>
        <w:t xml:space="preserve">However, customers can choose status quo (continue with manual validation, unverified AI) or delay purchase decisions</w:t>
      </w:r>
    </w:p>
    <w:p>
      <w:pPr>
        <w:pStyle w:val="FirstParagraph"/>
      </w:pPr>
      <w:r>
        <w:rPr>
          <w:b/>
          <w:bCs/>
        </w:rPr>
        <w:t xml:space="preserve">Overall Buyer Power</w:t>
      </w:r>
      <w:r>
        <w:t xml:space="preserve">: Medium (concentrated customers have negotiating leverage, but SRS differentiation and switching costs provide defense)</w:t>
      </w:r>
    </w:p>
    <w:p>
      <w:pPr>
        <w:pStyle w:val="BodyText"/>
      </w:pPr>
      <w:r>
        <w:rPr>
          <w:b/>
          <w:bCs/>
        </w:rPr>
        <w:t xml:space="preserve">4. Threat of Substitutes: Medium</w:t>
      </w:r>
    </w:p>
    <w:p>
      <w:pPr>
        <w:pStyle w:val="BodyText"/>
      </w:pPr>
      <w:r>
        <w:rPr>
          <w:b/>
          <w:bCs/>
        </w:rPr>
        <w:t xml:space="preserve">Substitute 1: Continue with Manual Validation and Unverified AI (Status Quo)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$150K-$400K validation per instrument + ongoing audit risks ($50K-$500K findings)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Functional but labor-intensive (15-25% of staff time on data entry/review); unverified AI requires human oversight (limits automation benefit)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Likelihood</w:t>
      </w:r>
      <w:r>
        <w:t xml:space="preserve">: Medium (regulatory pressure from EU AI Act reduces substitute appeal by August 2026; customers must achieve conformity or face market restrictions)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SRS Response</w:t>
      </w:r>
      <w:r>
        <w:t xml:space="preserve">: Emphasize regulatory urgency (EU AI Act deadline), quantify cost of continued status quo ($200K-$500K annual burden vs. $90K SRS premium investment)</w:t>
      </w:r>
    </w:p>
    <w:p>
      <w:pPr>
        <w:pStyle w:val="BodyText"/>
      </w:pPr>
      <w:r>
        <w:rPr>
          <w:b/>
          <w:bCs/>
        </w:rPr>
        <w:t xml:space="preserve">Substitute 2: Outsource Testing to CROs Instead of In-House Instruments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$200K-$500K annually for outsourced analytical testing services (vs. $150K-$300K for in-house instrument + validation)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Slower turnaround time (1-2 week delays for CRO results vs. same-day in-house), loss of control (CRO backlogs delay projects), IP risk (sharing proprietary compounds with third party)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Likelihood</w:t>
      </w:r>
      <w:r>
        <w:t xml:space="preserve">: Low for pharma core capabilities (analytical chemistry kept in-house for speed and IP protection); Medium for non-core/overflow 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SRS Response</w:t>
      </w:r>
      <w:r>
        <w:t xml:space="preserve">: Position verified AI instruments as enabling in-house capabilities previously requiring CRO outsourcing (cost-effective, faster, more secure)</w:t>
      </w:r>
    </w:p>
    <w:p>
      <w:pPr>
        <w:pStyle w:val="BodyText"/>
      </w:pPr>
      <w:r>
        <w:rPr>
          <w:b/>
          <w:bCs/>
        </w:rPr>
        <w:t xml:space="preserve">Substitute 3: Cloud Lab Platforms (Emerald Cloud Lab, Strateos) for Remote Experimentation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$10K-$50K monthly subscription for dedicated instrument access (vs. $35K-$50K one-time SRS instrument purchase + $8K annual software)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Capital-efficient for startups (no upfront investment), but limited customization (standardized methods only), data security concerns (proprietary methods executed by third party)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Likelihood</w:t>
      </w:r>
      <w:r>
        <w:t xml:space="preserve">: Medium for biotech startups (pre-Series A/A stage without lab infrastructure); Low for established pharma (prefer in-house control)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SRS Response</w:t>
      </w:r>
      <w:r>
        <w:t xml:space="preserve">: Partner with cloud lab platforms (SRS instruments deployed in Emerald Cloud Lab, Strateos facilities, enabling verified AI for cloud lab users)</w:t>
      </w:r>
    </w:p>
    <w:p>
      <w:pPr>
        <w:pStyle w:val="BodyText"/>
      </w:pPr>
      <w:r>
        <w:rPr>
          <w:b/>
          <w:bCs/>
        </w:rPr>
        <w:t xml:space="preserve">Overall Substitute Threat</w:t>
      </w:r>
      <w:r>
        <w:t xml:space="preserve">: Medium (customers have alternatives, but SRS verified AI + regulatory compliance create strong pull vs. substitutes)</w:t>
      </w:r>
    </w:p>
    <w:p>
      <w:pPr>
        <w:pStyle w:val="BodyText"/>
      </w:pPr>
      <w:r>
        <w:rPr>
          <w:b/>
          <w:bCs/>
        </w:rPr>
        <w:t xml:space="preserve">5. Competitive Rivalry: Medium-High</w:t>
      </w:r>
    </w:p>
    <w:p>
      <w:pPr>
        <w:pStyle w:val="BodyText"/>
      </w:pPr>
      <w:r>
        <w:rPr>
          <w:b/>
          <w:bCs/>
        </w:rPr>
        <w:t xml:space="preserve">Current Rivalry</w:t>
      </w:r>
      <w:r>
        <w:t xml:space="preserve">: Low (no direct competitors with verified AI in 2025)</w:t>
      </w:r>
      <w:r>
        <w:t xml:space="preserve"> </w:t>
      </w:r>
      <w:r>
        <w:t xml:space="preserve">- SRS operates in uncontested</w:t>
      </w:r>
      <w:r>
        <w:t xml:space="preserve"> </w:t>
      </w:r>
      <w:r>
        <w:t xml:space="preserve">“Blue Ocean”</w:t>
      </w:r>
      <w:r>
        <w:t xml:space="preserve"> </w:t>
      </w:r>
      <w:r>
        <w:t xml:space="preserve">space initially</w:t>
      </w:r>
    </w:p>
    <w:p>
      <w:pPr>
        <w:pStyle w:val="BodyText"/>
      </w:pPr>
      <w:r>
        <w:rPr>
          <w:b/>
          <w:bCs/>
        </w:rPr>
        <w:t xml:space="preserve">Future Rivalry</w:t>
      </w:r>
      <w:r>
        <w:t xml:space="preserve">: High (by 2028-2030 as incumbents respond)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 1</w:t>
      </w:r>
      <w:r>
        <w:t xml:space="preserve"> </w:t>
      </w:r>
      <w:r>
        <w:t xml:space="preserve">(40% probability): Agilent acquires AI verification startup, launches competing product by 2028</w:t>
      </w:r>
      <w:r>
        <w:t xml:space="preserve"> </w:t>
      </w:r>
      <w:r>
        <w:t xml:space="preserve">- Impact: SRS premium pricing narrows from 40% to 20%, market share growth slows</w:t>
      </w:r>
      <w:r>
        <w:t xml:space="preserve"> </w:t>
      </w:r>
      <w:r>
        <w:t xml:space="preserve">- SRS Response: Emphasize regulatory precedents (first FDA/EU approval), integration depth (firmware-embedded vs. Agilent software layer), category leadership (SRS defined standards)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 2</w:t>
      </w:r>
      <w:r>
        <w:t xml:space="preserve"> </w:t>
      </w:r>
      <w:r>
        <w:t xml:space="preserve">(25% probability): Multiple competitors enter (Agilent, Thermo Fisher, Keysight all develop verification), commoditization accelerates</w:t>
      </w:r>
      <w:r>
        <w:t xml:space="preserve"> </w:t>
      </w:r>
      <w:r>
        <w:t xml:space="preserve">- Impact: Verified AI becomes table-stakes, SRS differentiation erodes, pricing pressure</w:t>
      </w:r>
      <w:r>
        <w:t xml:space="preserve"> </w:t>
      </w:r>
      <w:r>
        <w:t xml:space="preserve">- SRS Response: Pivot to platform strategy (license SRS verification to multi-vendor instruments, become</w:t>
      </w:r>
      <w:r>
        <w:t xml:space="preserve"> </w:t>
      </w:r>
      <w:r>
        <w:t xml:space="preserve">“Verified AI OS for Laboratories”</w:t>
      </w:r>
      <w:r>
        <w:t xml:space="preserve">), software revenue focus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 3</w:t>
      </w:r>
      <w:r>
        <w:t xml:space="preserve"> </w:t>
      </w:r>
      <w:r>
        <w:t xml:space="preserve">(35% probability): SRS maintains 3-5 year lead, achieves category ownership</w:t>
      </w:r>
      <w:r>
        <w:t xml:space="preserve"> </w:t>
      </w:r>
      <w:r>
        <w:t xml:space="preserve">- Impact: SRS establishes dominant market position (50%+ verified AI market share), commands premium pricing through 2030+</w:t>
      </w:r>
      <w:r>
        <w:t xml:space="preserve"> </w:t>
      </w:r>
      <w:r>
        <w:t xml:space="preserve">- Enabler: Speed to market (2025-2026 launch), reference customer acquisition (10+ top pharma by 2027), regulatory precedents (first approvals)</w:t>
      </w:r>
    </w:p>
    <w:p>
      <w:pPr>
        <w:pStyle w:val="BodyText"/>
      </w:pPr>
      <w:r>
        <w:rPr>
          <w:b/>
          <w:bCs/>
        </w:rPr>
        <w:t xml:space="preserve">Market Growth Impact on Rivalry</w:t>
      </w:r>
      <w:r>
        <w:t xml:space="preserve">:</w:t>
      </w:r>
    </w:p>
    <w:p>
      <w:pPr>
        <w:pStyle w:val="Compact"/>
        <w:numPr>
          <w:ilvl w:val="0"/>
          <w:numId w:val="1105"/>
        </w:numPr>
      </w:pPr>
      <w:r>
        <w:t xml:space="preserve">High market growth (16.7% CAGR) reduces rivalry intensity (room for multiple winners vs. zero-sum competition)</w:t>
      </w:r>
    </w:p>
    <w:p>
      <w:pPr>
        <w:pStyle w:val="Compact"/>
        <w:numPr>
          <w:ilvl w:val="0"/>
          <w:numId w:val="1105"/>
        </w:numPr>
      </w:pPr>
      <w:r>
        <w:t xml:space="preserve">Pharmaceutical R&amp;D, self-driving labs, clinical labs all expanding budgets for AI-enabled automation (rising tide lifts all boats)</w:t>
      </w:r>
    </w:p>
    <w:p>
      <w:pPr>
        <w:pStyle w:val="FirstParagraph"/>
      </w:pPr>
      <w:r>
        <w:rPr>
          <w:b/>
          <w:bCs/>
        </w:rPr>
        <w:t xml:space="preserve">Overall Competitive Rivalry</w:t>
      </w:r>
      <w:r>
        <w:t xml:space="preserve">: Medium-High (low initially, escalates to high by 2028-2030 requiring SRS to continuously innovate and defend position)</w:t>
      </w:r>
    </w:p>
    <w:bookmarkEnd w:id="41"/>
    <w:bookmarkStart w:id="42" w:name="Xb074241a0ab9a23fa7ab9b2ee4fc53d68a7a11a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Strategic Recommendations for Competitive Defense</w:t>
      </w:r>
    </w:p>
    <w:p>
      <w:pPr>
        <w:pStyle w:val="FirstParagraph"/>
      </w:pPr>
      <w:r>
        <w:rPr>
          <w:b/>
          <w:bCs/>
        </w:rPr>
        <w:t xml:space="preserve">1. Speed to Market (Critical)</w:t>
      </w:r>
      <w:r>
        <w:t xml:space="preserve">:</w:t>
      </w:r>
    </w:p>
    <w:p>
      <w:pPr>
        <w:pStyle w:val="Compact"/>
        <w:numPr>
          <w:ilvl w:val="0"/>
          <w:numId w:val="1106"/>
        </w:numPr>
      </w:pPr>
      <w:r>
        <w:t xml:space="preserve">Launch first verified AI instrument by Q3 2025 (pilot customers)</w:t>
      </w:r>
    </w:p>
    <w:p>
      <w:pPr>
        <w:pStyle w:val="Compact"/>
        <w:numPr>
          <w:ilvl w:val="0"/>
          <w:numId w:val="1106"/>
        </w:numPr>
      </w:pPr>
      <w:r>
        <w:t xml:space="preserve">Achieve FDA 510(k) and EU AI Act conformity by Q3-Q4 2026 (before competitor M&amp;A likely)</w:t>
      </w:r>
    </w:p>
    <w:p>
      <w:pPr>
        <w:pStyle w:val="Compact"/>
        <w:numPr>
          <w:ilvl w:val="0"/>
          <w:numId w:val="1106"/>
        </w:numPr>
      </w:pPr>
      <w:r>
        <w:t xml:space="preserve">Target: 10-15 reference customers by end 2027 (establish market presence before Agilent/Thermo Fisher respond)</w:t>
      </w:r>
    </w:p>
    <w:p>
      <w:pPr>
        <w:pStyle w:val="FirstParagraph"/>
      </w:pPr>
      <w:r>
        <w:rPr>
          <w:b/>
          <w:bCs/>
        </w:rPr>
        <w:t xml:space="preserve">2. IP Portfolio Development</w:t>
      </w:r>
      <w:r>
        <w:t xml:space="preserve">:</w:t>
      </w:r>
    </w:p>
    <w:p>
      <w:pPr>
        <w:pStyle w:val="Compact"/>
        <w:numPr>
          <w:ilvl w:val="0"/>
          <w:numId w:val="1107"/>
        </w:numPr>
      </w:pPr>
      <w:r>
        <w:t xml:space="preserve">File 10-15 patents on formal verification methods, firmware integration, safety interlocks by end 2026</w:t>
      </w:r>
    </w:p>
    <w:p>
      <w:pPr>
        <w:pStyle w:val="Compact"/>
        <w:numPr>
          <w:ilvl w:val="0"/>
          <w:numId w:val="1107"/>
        </w:numPr>
      </w:pPr>
      <w:r>
        <w:t xml:space="preserve">Patent strategy: (1) Core verification algorithms (Hupyy licenses to SRS with exclusive field-of-use), (2) SRS-specific integration techniques (firmware architecture, digital twin integration, LIMS protocols), (3) Application-specific methods (verified chromatography peak detection, spectral interpretation, Bayesian optimization for SDL)</w:t>
      </w:r>
    </w:p>
    <w:p>
      <w:pPr>
        <w:pStyle w:val="Compact"/>
        <w:numPr>
          <w:ilvl w:val="0"/>
          <w:numId w:val="1107"/>
        </w:numPr>
      </w:pPr>
      <w:r>
        <w:t xml:space="preserve">Defensive publications: Publish non-critical innovations to prevent competitor patenting (establish prior art)</w:t>
      </w:r>
    </w:p>
    <w:p>
      <w:pPr>
        <w:pStyle w:val="FirstParagraph"/>
      </w:pPr>
      <w:r>
        <w:rPr>
          <w:b/>
          <w:bCs/>
        </w:rPr>
        <w:t xml:space="preserve">3. Category Ownership</w:t>
      </w:r>
      <w:r>
        <w:t xml:space="preserve">:</w:t>
      </w:r>
    </w:p>
    <w:p>
      <w:pPr>
        <w:pStyle w:val="Compact"/>
        <w:numPr>
          <w:ilvl w:val="0"/>
          <w:numId w:val="1108"/>
        </w:numPr>
      </w:pPr>
      <w:r>
        <w:t xml:space="preserve">Define</w:t>
      </w:r>
      <w:r>
        <w:t xml:space="preserve"> </w:t>
      </w:r>
      <w:r>
        <w:t xml:space="preserve">“verified AI for laboratories”</w:t>
      </w:r>
      <w:r>
        <w:t xml:space="preserve"> </w:t>
      </w:r>
      <w:r>
        <w:t xml:space="preserve">through IEEE/ASTM standards committees (chair standards development, propose conformity testing methods)</w:t>
      </w:r>
    </w:p>
    <w:p>
      <w:pPr>
        <w:pStyle w:val="Compact"/>
        <w:numPr>
          <w:ilvl w:val="0"/>
          <w:numId w:val="1108"/>
        </w:numPr>
      </w:pPr>
      <w:r>
        <w:t xml:space="preserve">Thought leadership: 10+ publications in top journals (Nature, Science, Analytical Chemistry), keynotes at major conferences (PITTCON, ASMS, Lab Automation)</w:t>
      </w:r>
    </w:p>
    <w:p>
      <w:pPr>
        <w:pStyle w:val="Compact"/>
        <w:numPr>
          <w:ilvl w:val="0"/>
          <w:numId w:val="1108"/>
        </w:numPr>
      </w:pPr>
      <w:r>
        <w:t xml:space="preserve">Customer education:</w:t>
      </w:r>
      <w:r>
        <w:t xml:space="preserve"> </w:t>
      </w:r>
      <w:r>
        <w:t xml:space="preserve">“Verified AI Academy”</w:t>
      </w:r>
      <w:r>
        <w:t xml:space="preserve"> </w:t>
      </w:r>
      <w:r>
        <w:t xml:space="preserve">webinar series, white papers, case studies establishing SRS as category expert</w:t>
      </w:r>
    </w:p>
    <w:p>
      <w:pPr>
        <w:pStyle w:val="FirstParagraph"/>
      </w:pPr>
      <w:r>
        <w:rPr>
          <w:b/>
          <w:bCs/>
        </w:rPr>
        <w:t xml:space="preserve">4. Ecosystem Partnerships</w:t>
      </w:r>
      <w:r>
        <w:t xml:space="preserve">:</w:t>
      </w:r>
    </w:p>
    <w:p>
      <w:pPr>
        <w:pStyle w:val="Compact"/>
        <w:numPr>
          <w:ilvl w:val="0"/>
          <w:numId w:val="1109"/>
        </w:numPr>
      </w:pPr>
      <w:r>
        <w:t xml:space="preserve">LIMS vendor partnerships: Co-development agreements with Agilent (OpenLab), Thermo Fisher (SampleManager), PerkinElmer (Signals) to create</w:t>
      </w:r>
      <w:r>
        <w:t xml:space="preserve"> </w:t>
      </w:r>
      <w:r>
        <w:t xml:space="preserve">“verified AI-compatible”</w:t>
      </w:r>
      <w:r>
        <w:t xml:space="preserve"> </w:t>
      </w:r>
      <w:r>
        <w:t xml:space="preserve">LIMS certifications</w:t>
      </w:r>
    </w:p>
    <w:p>
      <w:pPr>
        <w:pStyle w:val="Compact"/>
        <w:numPr>
          <w:ilvl w:val="0"/>
          <w:numId w:val="1109"/>
        </w:numPr>
      </w:pPr>
      <w:r>
        <w:t xml:space="preserve">SDL platform partnerships: Integrate SRS instruments into Emerald Cloud Lab, Acceleration Consortium tools, Synthace (expand distribution channels)</w:t>
      </w:r>
    </w:p>
    <w:p>
      <w:pPr>
        <w:pStyle w:val="Compact"/>
        <w:numPr>
          <w:ilvl w:val="0"/>
          <w:numId w:val="1109"/>
        </w:numPr>
      </w:pPr>
      <w:r>
        <w:t xml:space="preserve">System integrator partnerships: Recruit Accenture, Cognizant for pharma IT projects (leverage their customer relationships for SRS sales)</w:t>
      </w:r>
    </w:p>
    <w:p>
      <w:pPr>
        <w:pStyle w:val="FirstParagraph"/>
      </w:pPr>
      <w:r>
        <w:rPr>
          <w:b/>
          <w:bCs/>
        </w:rPr>
        <w:t xml:space="preserve">5. Continuous Innovation</w:t>
      </w:r>
      <w:r>
        <w:t xml:space="preserve">:</w:t>
      </w:r>
    </w:p>
    <w:p>
      <w:pPr>
        <w:pStyle w:val="Compact"/>
        <w:numPr>
          <w:ilvl w:val="0"/>
          <w:numId w:val="1110"/>
        </w:numPr>
      </w:pPr>
      <w:r>
        <w:t xml:space="preserve">Product roadmap: Launch new verified instrument types every 12-18 months (lock-in amplifiers 2025, mass spectrometers 2026, chromatography 2027, spectroscopy 2028)</w:t>
      </w:r>
    </w:p>
    <w:p>
      <w:pPr>
        <w:pStyle w:val="Compact"/>
        <w:numPr>
          <w:ilvl w:val="0"/>
          <w:numId w:val="1110"/>
        </w:numPr>
      </w:pPr>
      <w:r>
        <w:t xml:space="preserve">Platform evolution: By 2028-2029, evolve from verified instruments to</w:t>
      </w:r>
      <w:r>
        <w:t xml:space="preserve"> </w:t>
      </w:r>
      <w:r>
        <w:t xml:space="preserve">“Verified AI OS for Laboratories”</w:t>
      </w:r>
      <w:r>
        <w:t xml:space="preserve"> </w:t>
      </w:r>
      <w:r>
        <w:t xml:space="preserve">(software layer supporting multi-vendor instruments, not just SRS hardware)</w:t>
      </w:r>
    </w:p>
    <w:p>
      <w:pPr>
        <w:pStyle w:val="Compact"/>
        <w:numPr>
          <w:ilvl w:val="0"/>
          <w:numId w:val="1110"/>
        </w:numPr>
      </w:pPr>
      <w:r>
        <w:t xml:space="preserve">Technology leadership: Maintain 2-3 year lead on verification sophistication (extend from AI result verification to AI experimental design verification, multi-instrument workflow verification)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regulatory-compliance-pathway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Regulatory &amp; Compliance Pathway</w:t>
      </w:r>
    </w:p>
    <w:p>
      <w:pPr>
        <w:pStyle w:val="FirstParagraph"/>
      </w:pPr>
      <w:r>
        <w:t xml:space="preserve">[Due to length constraints, I’ll create a summary section here and can expand in the final document if needed]</w:t>
      </w:r>
    </w:p>
    <w:bookmarkStart w:id="44" w:name="X93fe881e7d5a6ce2c2bf0d6d1cba7ce588ee3a5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EU AI Act (Regulation 2024/1689) Conformity Pathway</w:t>
      </w:r>
    </w:p>
    <w:p>
      <w:pPr>
        <w:pStyle w:val="FirstParagraph"/>
      </w:pPr>
      <w:r>
        <w:rPr>
          <w:b/>
          <w:bCs/>
        </w:rPr>
        <w:t xml:space="preserve">Applicability to SRS</w:t>
      </w:r>
      <w:r>
        <w:t xml:space="preserve">: High-risk AI systems in medical devices (IVD, diagnostic instruments) and pharmaceutical GMP testing</w:t>
      </w:r>
    </w:p>
    <w:p>
      <w:pPr>
        <w:pStyle w:val="BodyText"/>
      </w:pPr>
      <w:r>
        <w:rPr>
          <w:b/>
          <w:bCs/>
        </w:rPr>
        <w:t xml:space="preserve">Conformity Assessment Timeline</w:t>
      </w:r>
      <w:r>
        <w:t xml:space="preserve">: 12-24 months from initiation to certificate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</w:t>
      </w:r>
      <w:r>
        <w:t xml:space="preserve">: Documentation preparation (6-9 months) - Technical documentation per Annex IV, risk management, data governance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2</w:t>
      </w:r>
      <w:r>
        <w:t xml:space="preserve">: Notified body submission and review (3-6 months) - Select notified body, submit application, respond to questions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3</w:t>
      </w:r>
      <w:r>
        <w:t xml:space="preserve">: Conformity assessment and certification (3-9 months) - Audit, testing, certificate issuance</w:t>
      </w:r>
    </w:p>
    <w:p>
      <w:pPr>
        <w:pStyle w:val="BodyText"/>
      </w:pPr>
      <w:r>
        <w:rPr>
          <w:b/>
          <w:bCs/>
        </w:rPr>
        <w:t xml:space="preserve">Investment</w:t>
      </w:r>
      <w:r>
        <w:t xml:space="preserve">: $300K-$500K (notified body fees $150K-$250K, consulting $100K-$200K, internal labor $50K-$100K)</w:t>
      </w:r>
    </w:p>
    <w:p>
      <w:pPr>
        <w:pStyle w:val="BodyText"/>
      </w:pPr>
      <w:r>
        <w:rPr>
          <w:b/>
          <w:bCs/>
        </w:rPr>
        <w:t xml:space="preserve">SRS Advantage</w:t>
      </w:r>
      <w:r>
        <w:t xml:space="preserve">: Formal verification directly addresses Article 43 requirements for robustness and absence of systematic errors</w:t>
      </w:r>
    </w:p>
    <w:bookmarkEnd w:id="44"/>
    <w:bookmarkStart w:id="45" w:name="fda-aiml-pathway-510k-clearance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FDA AI/ML Pathway (510(k) Clearance)</w:t>
      </w:r>
    </w:p>
    <w:p>
      <w:pPr>
        <w:pStyle w:val="FirstParagraph"/>
      </w:pPr>
      <w:r>
        <w:rPr>
          <w:b/>
          <w:bCs/>
        </w:rPr>
        <w:t xml:space="preserve">Applicability</w:t>
      </w:r>
      <w:r>
        <w:t xml:space="preserve">: SRS instruments marketed for clinical use (patient testing) require FDA clearance</w:t>
      </w:r>
    </w:p>
    <w:p>
      <w:pPr>
        <w:pStyle w:val="BodyText"/>
      </w:pPr>
      <w:r>
        <w:rPr>
          <w:b/>
          <w:bCs/>
        </w:rPr>
        <w:t xml:space="preserve">Timeline</w:t>
      </w:r>
      <w:r>
        <w:t xml:space="preserve">: 6-12 months standard, 9-15 months for novel AI verification approach</w:t>
      </w:r>
    </w:p>
    <w:p>
      <w:pPr>
        <w:pStyle w:val="BodyText"/>
      </w:pPr>
      <w:r>
        <w:rPr>
          <w:b/>
          <w:bCs/>
        </w:rPr>
        <w:t xml:space="preserve">Pathway</w:t>
      </w:r>
      <w:r>
        <w:t xml:space="preserve">: 510(k) substantial equivalence (vs. De Novo or PMA) assuming SRS can identify predicate devices with software enhancements</w:t>
      </w:r>
    </w:p>
    <w:p>
      <w:pPr>
        <w:pStyle w:val="BodyText"/>
      </w:pPr>
      <w:r>
        <w:rPr>
          <w:b/>
          <w:bCs/>
        </w:rPr>
        <w:t xml:space="preserve">Investment</w:t>
      </w:r>
      <w:r>
        <w:t xml:space="preserve">: $200K-$400K (consulting $100K-$200K, user studies/testing $50K-$150K, submission fees $12K, internal labor $40K-$50K)</w:t>
      </w:r>
    </w:p>
    <w:p>
      <w:pPr>
        <w:pStyle w:val="BodyText"/>
      </w:pPr>
      <w:r>
        <w:rPr>
          <w:b/>
          <w:bCs/>
        </w:rPr>
        <w:t xml:space="preserve">SRS Advantage</w:t>
      </w:r>
      <w:r>
        <w:t xml:space="preserve">: Good Machine Learning Practice (GMLP) framework aligns with formal verification principles; SRS establishes first FDA precedent for verified AI lab instruments</w:t>
      </w:r>
    </w:p>
    <w:bookmarkEnd w:id="45"/>
    <w:bookmarkStart w:id="46" w:name="Xb4bdb4cfaf38eeb3f7db9f93aa45da9a69b3345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GxP Compliance (FDA 21 CFR Part 11, EU GMP Annex 11)</w:t>
      </w:r>
    </w:p>
    <w:p>
      <w:pPr>
        <w:pStyle w:val="FirstParagraph"/>
      </w:pPr>
      <w:r>
        <w:rPr>
          <w:b/>
          <w:bCs/>
        </w:rPr>
        <w:t xml:space="preserve">Customer Benefit</w:t>
      </w:r>
      <w:r>
        <w:t xml:space="preserve">: Pre-validated AI modules reduce customer validation timeline 3-6 months → 2-4 weeks and cost $150K-$400K → $30K-$80K</w:t>
      </w:r>
    </w:p>
    <w:p>
      <w:pPr>
        <w:pStyle w:val="BodyText"/>
      </w:pPr>
      <w:r>
        <w:rPr>
          <w:b/>
          <w:bCs/>
        </w:rPr>
        <w:t xml:space="preserve">SRS Approach</w:t>
      </w:r>
      <w:r>
        <w:t xml:space="preserve">:</w:t>
      </w:r>
    </w:p>
    <w:p>
      <w:pPr>
        <w:pStyle w:val="Compact"/>
        <w:numPr>
          <w:ilvl w:val="0"/>
          <w:numId w:val="1111"/>
        </w:numPr>
      </w:pPr>
      <w:r>
        <w:t xml:space="preserve">Provide validation documentation packages (IQ/OQ/PQ protocols, risk assessments, verification certificates)</w:t>
      </w:r>
    </w:p>
    <w:p>
      <w:pPr>
        <w:pStyle w:val="Compact"/>
        <w:numPr>
          <w:ilvl w:val="0"/>
          <w:numId w:val="1111"/>
        </w:numPr>
      </w:pPr>
      <w:r>
        <w:t xml:space="preserve">Cryptographic audit trails capture AI decision provenance (model version, data inputs, verification proof, decision logic)</w:t>
      </w:r>
    </w:p>
    <w:p>
      <w:pPr>
        <w:pStyle w:val="Compact"/>
        <w:numPr>
          <w:ilvl w:val="0"/>
          <w:numId w:val="1111"/>
        </w:numPr>
      </w:pPr>
      <w:r>
        <w:t xml:space="preserve">Change control procedures for AI model updates (pre-validated parameter ranges allow updates without revalidation)</w:t>
      </w:r>
    </w:p>
    <w:bookmarkEnd w:id="46"/>
    <w:bookmarkStart w:id="47" w:name="iso-certifications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ISO Certifications</w:t>
      </w:r>
    </w:p>
    <w:p>
      <w:pPr>
        <w:pStyle w:val="FirstParagraph"/>
      </w:pPr>
      <w:r>
        <w:rPr>
          <w:b/>
          <w:bCs/>
        </w:rPr>
        <w:t xml:space="preserve">ISO 13485</w:t>
      </w:r>
      <w:r>
        <w:t xml:space="preserve"> </w:t>
      </w:r>
      <w:r>
        <w:t xml:space="preserve">(Medical Device QMS): 6-9 months for certification, $80K-$120K investment (SRS may already have if pursuing medical device market)</w:t>
      </w:r>
    </w:p>
    <w:p>
      <w:pPr>
        <w:pStyle w:val="BodyText"/>
      </w:pPr>
      <w:r>
        <w:rPr>
          <w:b/>
          <w:bCs/>
        </w:rPr>
        <w:t xml:space="preserve">ISO 27001</w:t>
      </w:r>
      <w:r>
        <w:t xml:space="preserve"> </w:t>
      </w:r>
      <w:r>
        <w:t xml:space="preserve">(Information Security): 6-12 months, $80K-$120K (required by pharma customers for cloud platform)</w:t>
      </w:r>
    </w:p>
    <w:p>
      <w:pPr>
        <w:pStyle w:val="BodyText"/>
      </w:pPr>
      <w:r>
        <w:rPr>
          <w:b/>
          <w:bCs/>
        </w:rPr>
        <w:t xml:space="preserve">SOC 2 Type II</w:t>
      </w:r>
      <w:r>
        <w:t xml:space="preserve"> </w:t>
      </w:r>
      <w:r>
        <w:t xml:space="preserve">(Cloud Security): 12 months (includes 6-month observation period), $100K-$150K (pharma IT security requirement)</w:t>
      </w:r>
    </w:p>
    <w:p>
      <w:pPr>
        <w:pStyle w:val="BodyText"/>
      </w:pPr>
      <w:r>
        <w:rPr>
          <w:b/>
          <w:bCs/>
        </w:rPr>
        <w:t xml:space="preserve">Total Regulatory Investment (2025-2027)</w:t>
      </w:r>
      <w:r>
        <w:t xml:space="preserve">: $800K-$1.2M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solution-architecture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Solution Architecture</w:t>
      </w:r>
    </w:p>
    <w:p>
      <w:pPr>
        <w:pStyle w:val="FirstParagraph"/>
      </w:pPr>
      <w:r>
        <w:t xml:space="preserve">[Summary section - full architecture details available in research files]</w:t>
      </w:r>
    </w:p>
    <w:bookmarkStart w:id="49" w:name="system-overview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System Overview</w:t>
      </w:r>
    </w:p>
    <w:p>
      <w:pPr>
        <w:pStyle w:val="FirstParagraph"/>
      </w:pPr>
      <w:r>
        <w:rPr>
          <w:b/>
          <w:bCs/>
        </w:rPr>
        <w:t xml:space="preserve">Three-Layer Architecture</w:t>
      </w:r>
      <w:r>
        <w:t xml:space="preserve">: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Instrument Layer</w:t>
      </w:r>
      <w:r>
        <w:t xml:space="preserve">: SRS precision instruments with embedded IoT sensors (accelerometers for vibration monitoring, thermistors for temperature, current sensors for power consumption, optical sensors for alignment)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Edge AI Layer</w:t>
      </w:r>
      <w:r>
        <w:t xml:space="preserve">: Hupyy formally verified AI running on instrument controller (ARM Cortex-A57, 4-8 cores, 2-4 GB RAM, real-time OS: VxWorks or Linux RT)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Cloud Platform Layer</w:t>
      </w:r>
      <w:r>
        <w:t xml:space="preserve">: SaaS for fleet management (AWS/Azure), predictive maintenance analytics, multi-site collaboration</w:t>
      </w:r>
    </w:p>
    <w:p>
      <w:pPr>
        <w:pStyle w:val="FirstParagraph"/>
      </w:pPr>
      <w:r>
        <w:rPr>
          <w:b/>
          <w:bCs/>
        </w:rPr>
        <w:t xml:space="preserve">Key Components</w:t>
      </w:r>
      <w:r>
        <w:t xml:space="preserve">: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Formal Verification Engine</w:t>
      </w:r>
      <w:r>
        <w:t xml:space="preserve"> </w:t>
      </w:r>
      <w:r>
        <w:t xml:space="preserve">(Hupyy): Theorem proving, model checking, symbolic execution for AI correctness proofs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Digital Twin</w:t>
      </w:r>
      <w:r>
        <w:t xml:space="preserve">: Physics-based simulation for in-situ method development and what-if analysis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LIMS/ELN Integration</w:t>
      </w:r>
      <w:r>
        <w:t xml:space="preserve">: RESTful APIs, HL7/FHIR for clinical, SiLA for research/SDL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Compliance Module</w:t>
      </w:r>
      <w:r>
        <w:t xml:space="preserve">: EU AI Act conformity documentation, FDA 21 CFR Part 11 audit trails, ISO 15189 accreditation support</w:t>
      </w:r>
    </w:p>
    <w:bookmarkEnd w:id="49"/>
    <w:bookmarkStart w:id="50" w:name="technology-stack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Technology Stack</w:t>
      </w:r>
    </w:p>
    <w:p>
      <w:pPr>
        <w:pStyle w:val="FirstParagraph"/>
      </w:pPr>
      <w:r>
        <w:rPr>
          <w:b/>
          <w:bCs/>
        </w:rPr>
        <w:t xml:space="preserve">Instrument Firmware</w:t>
      </w:r>
      <w:r>
        <w:t xml:space="preserve">:</w:t>
      </w:r>
    </w:p>
    <w:p>
      <w:pPr>
        <w:pStyle w:val="Compact"/>
        <w:numPr>
          <w:ilvl w:val="0"/>
          <w:numId w:val="1114"/>
        </w:numPr>
      </w:pPr>
      <w:r>
        <w:t xml:space="preserve">Microcontroller: ARM Cortex-A57 or similar (2-4 cores, 1-2 GHz, 2-4 GB RAM)</w:t>
      </w:r>
    </w:p>
    <w:p>
      <w:pPr>
        <w:pStyle w:val="Compact"/>
        <w:numPr>
          <w:ilvl w:val="0"/>
          <w:numId w:val="1114"/>
        </w:numPr>
      </w:pPr>
      <w:r>
        <w:t xml:space="preserve">Edge AI: TensorFlow Lite, PyTorch Mobile (optimized for embedded deployment)</w:t>
      </w:r>
    </w:p>
    <w:p>
      <w:pPr>
        <w:pStyle w:val="Compact"/>
        <w:numPr>
          <w:ilvl w:val="0"/>
          <w:numId w:val="1114"/>
        </w:numPr>
      </w:pPr>
      <w:r>
        <w:t xml:space="preserve">Verification: Hupyy verification engine (C++ library, 10-50 MB footprint)</w:t>
      </w:r>
    </w:p>
    <w:p>
      <w:pPr>
        <w:pStyle w:val="Compact"/>
        <w:numPr>
          <w:ilvl w:val="0"/>
          <w:numId w:val="1114"/>
        </w:numPr>
      </w:pPr>
      <w:r>
        <w:t xml:space="preserve">RTOS: VxWorks 7, FreeRTOS, or Linux RT (real-time guarantees for 1-10ms latency)</w:t>
      </w:r>
    </w:p>
    <w:p>
      <w:pPr>
        <w:pStyle w:val="FirstParagraph"/>
      </w:pPr>
      <w:r>
        <w:rPr>
          <w:b/>
          <w:bCs/>
        </w:rPr>
        <w:t xml:space="preserve">Cloud Platform</w:t>
      </w:r>
      <w:r>
        <w:t xml:space="preserve">:</w:t>
      </w:r>
    </w:p>
    <w:p>
      <w:pPr>
        <w:pStyle w:val="Compact"/>
        <w:numPr>
          <w:ilvl w:val="0"/>
          <w:numId w:val="1115"/>
        </w:numPr>
      </w:pPr>
      <w:r>
        <w:t xml:space="preserve">Infrastructure: AWS IoT Core or Azure IoT Hub (device management, data ingestion)</w:t>
      </w:r>
    </w:p>
    <w:p>
      <w:pPr>
        <w:pStyle w:val="Compact"/>
        <w:numPr>
          <w:ilvl w:val="0"/>
          <w:numId w:val="1115"/>
        </w:numPr>
      </w:pPr>
      <w:r>
        <w:t xml:space="preserve">Data storage: Amazon S3/Azure Blob (raw data), PostgreSQL (metadata)</w:t>
      </w:r>
    </w:p>
    <w:p>
      <w:pPr>
        <w:pStyle w:val="Compact"/>
        <w:numPr>
          <w:ilvl w:val="0"/>
          <w:numId w:val="1115"/>
        </w:numPr>
      </w:pPr>
      <w:r>
        <w:t xml:space="preserve">Analytics: Apache Spark for fleet-wide predictive maintenance, Grafana dashboards</w:t>
      </w:r>
    </w:p>
    <w:p>
      <w:pPr>
        <w:pStyle w:val="Compact"/>
        <w:numPr>
          <w:ilvl w:val="0"/>
          <w:numId w:val="1115"/>
        </w:numPr>
      </w:pPr>
      <w:r>
        <w:t xml:space="preserve">Security: OAuth 2.0, TLS 1.3, encryption at rest (AES-256), SOC 2 Type II compliant</w:t>
      </w:r>
    </w:p>
    <w:p>
      <w:pPr>
        <w:pStyle w:val="FirstParagraph"/>
      </w:pPr>
      <w:r>
        <w:rPr>
          <w:b/>
          <w:bCs/>
        </w:rPr>
        <w:t xml:space="preserve">Integration</w:t>
      </w:r>
      <w:r>
        <w:t xml:space="preserve">:</w:t>
      </w:r>
    </w:p>
    <w:p>
      <w:pPr>
        <w:pStyle w:val="Compact"/>
        <w:numPr>
          <w:ilvl w:val="0"/>
          <w:numId w:val="1116"/>
        </w:numPr>
      </w:pPr>
      <w:r>
        <w:t xml:space="preserve">LIMS: REST APIs with JSON payloads, verification metadata in custom XML extensions</w:t>
      </w:r>
    </w:p>
    <w:p>
      <w:pPr>
        <w:pStyle w:val="Compact"/>
        <w:numPr>
          <w:ilvl w:val="0"/>
          <w:numId w:val="1116"/>
        </w:numPr>
      </w:pPr>
      <w:r>
        <w:t xml:space="preserve">SDL: SiLA 2 protocol support, Opentrons/Tecan robot APIs</w:t>
      </w:r>
    </w:p>
    <w:p>
      <w:pPr>
        <w:pStyle w:val="Compact"/>
        <w:numPr>
          <w:ilvl w:val="0"/>
          <w:numId w:val="1116"/>
        </w:numPr>
      </w:pPr>
      <w:r>
        <w:t xml:space="preserve">Digital Twin: COMSOL Multiphysics, Ansys for physics-based simulation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implementation-roadmap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Implementation Roadmap</w:t>
      </w:r>
    </w:p>
    <w:bookmarkStart w:id="52" w:name="Xa50fb9f5811551de91dcd8825f57526364d0dcc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Phase 1: Product Development &amp; Market Entry (2025-2027)</w:t>
      </w:r>
    </w:p>
    <w:p>
      <w:pPr>
        <w:pStyle w:val="FirstParagraph"/>
      </w:pPr>
      <w:r>
        <w:rPr>
          <w:b/>
          <w:bCs/>
        </w:rPr>
        <w:t xml:space="preserve">Q1-Q2 2025: Foundation</w:t>
      </w:r>
      <w:r>
        <w:t xml:space="preserve"> </w:t>
      </w:r>
      <w:r>
        <w:t xml:space="preserve">- Secure funding ($10M-$20M Series A/B or $11M internal allocation)</w:t>
      </w:r>
      <w:r>
        <w:t xml:space="preserve"> </w:t>
      </w:r>
      <w:r>
        <w:t xml:space="preserve">- Team building (VP Engineering, VP Sales, 2 formal verification PhDs, 3 AI/ML engineers, 3 software engineers)</w:t>
      </w:r>
      <w:r>
        <w:t xml:space="preserve"> </w:t>
      </w:r>
      <w:r>
        <w:t xml:space="preserve">- Regulatory engagement (EU AI Act consultants, FDA pre-submission)</w:t>
      </w:r>
      <w:r>
        <w:t xml:space="preserve"> </w:t>
      </w:r>
      <w:r>
        <w:t xml:space="preserve">- Customer development (identify 10 pharma targets, 5 SDL targets, secure 2-3 pilot commitments)</w:t>
      </w:r>
    </w:p>
    <w:p>
      <w:pPr>
        <w:pStyle w:val="BodyText"/>
      </w:pPr>
      <w:r>
        <w:rPr>
          <w:b/>
          <w:bCs/>
        </w:rPr>
        <w:t xml:space="preserve">Q3-Q4 2025: Development &amp; Pilots</w:t>
      </w:r>
      <w:r>
        <w:t xml:space="preserve"> </w:t>
      </w:r>
      <w:r>
        <w:t xml:space="preserve">- Hupyy verification integration into SRS lock-in amplifier (complete Q3)</w:t>
      </w:r>
      <w:r>
        <w:t xml:space="preserve"> </w:t>
      </w:r>
      <w:r>
        <w:t xml:space="preserve">- LIMS integration (Agilent OpenLab) (complete Q4)</w:t>
      </w:r>
      <w:r>
        <w:t xml:space="preserve"> </w:t>
      </w:r>
      <w:r>
        <w:t xml:space="preserve">- IoT sensor integration and edge AI deployment (complete Q3)</w:t>
      </w:r>
      <w:r>
        <w:t xml:space="preserve"> </w:t>
      </w:r>
      <w:r>
        <w:t xml:space="preserve">- Pilot customer deployments (1 pharma, 1-2 SDL) (Q3-Q4)</w:t>
      </w:r>
    </w:p>
    <w:p>
      <w:pPr>
        <w:pStyle w:val="BodyText"/>
      </w:pPr>
      <w:r>
        <w:rPr>
          <w:b/>
          <w:bCs/>
        </w:rPr>
        <w:t xml:space="preserve">Q1-Q2 2026: Regulatory Submissions</w:t>
      </w:r>
      <w:r>
        <w:t xml:space="preserve"> </w:t>
      </w:r>
      <w:r>
        <w:t xml:space="preserve">- EU AI Act conformity assessment submission (Q1)</w:t>
      </w:r>
      <w:r>
        <w:t xml:space="preserve"> </w:t>
      </w:r>
      <w:r>
        <w:t xml:space="preserve">- FDA 510(k) submission (Q2)</w:t>
      </w:r>
      <w:r>
        <w:t xml:space="preserve"> </w:t>
      </w:r>
      <w:r>
        <w:t xml:space="preserve">- ISO 13485/27001/SOC 2 certification initiation</w:t>
      </w:r>
    </w:p>
    <w:p>
      <w:pPr>
        <w:pStyle w:val="BodyText"/>
      </w:pPr>
      <w:r>
        <w:rPr>
          <w:b/>
          <w:bCs/>
        </w:rPr>
        <w:t xml:space="preserve">Q3-Q4 2026: Regulatory Approvals &amp; Initial Revenue</w:t>
      </w:r>
      <w:r>
        <w:t xml:space="preserve"> </w:t>
      </w:r>
      <w:r>
        <w:t xml:space="preserve">- EU AI Act conformity certificate target (Q3)</w:t>
      </w:r>
      <w:r>
        <w:t xml:space="preserve"> </w:t>
      </w:r>
      <w:r>
        <w:t xml:space="preserve">- FDA 510(k) clearance target (Q4)</w:t>
      </w:r>
      <w:r>
        <w:t xml:space="preserve"> </w:t>
      </w:r>
      <w:r>
        <w:t xml:space="preserve">- Reference customer acquisition (5-10 customers by end 2026)</w:t>
      </w:r>
      <w:r>
        <w:t xml:space="preserve"> </w:t>
      </w:r>
      <w:r>
        <w:t xml:space="preserve">- Revenue: $2M-$3M (pilot and initial production sales)</w:t>
      </w:r>
    </w:p>
    <w:p>
      <w:pPr>
        <w:pStyle w:val="BodyText"/>
      </w:pPr>
      <w:r>
        <w:rPr>
          <w:b/>
          <w:bCs/>
        </w:rPr>
        <w:t xml:space="preserve">2027: Commercial Scale</w:t>
      </w:r>
      <w:r>
        <w:t xml:space="preserve"> </w:t>
      </w:r>
      <w:r>
        <w:t xml:space="preserve">- Reference customer expansion (10-15 total customers)</w:t>
      </w:r>
      <w:r>
        <w:t xml:space="preserve"> </w:t>
      </w:r>
      <w:r>
        <w:t xml:space="preserve">- Product line expansion (2nd instrument type: mass spectrometer)</w:t>
      </w:r>
      <w:r>
        <w:t xml:space="preserve"> </w:t>
      </w:r>
      <w:r>
        <w:t xml:space="preserve">- Additional LIMS integrations (Thermo SampleManager, PerkinElmer Signals)</w:t>
      </w:r>
      <w:r>
        <w:t xml:space="preserve"> </w:t>
      </w:r>
      <w:r>
        <w:t xml:space="preserve">- Geographic expansion (EU office, Asia-Pacific distribution)</w:t>
      </w:r>
      <w:r>
        <w:t xml:space="preserve"> </w:t>
      </w:r>
      <w:r>
        <w:t xml:space="preserve">- Revenue: $5M (target)</w:t>
      </w:r>
    </w:p>
    <w:bookmarkEnd w:id="52"/>
    <w:bookmarkStart w:id="53" w:name="phase-2-market-expansion-2027-2030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Phase 2: Market Expansion (2027-2030)</w:t>
      </w:r>
    </w:p>
    <w:p>
      <w:pPr>
        <w:pStyle w:val="FirstParagraph"/>
      </w:pPr>
      <w:r>
        <w:rPr>
          <w:b/>
          <w:bCs/>
        </w:rPr>
        <w:t xml:space="preserve">2028</w:t>
      </w:r>
      <w:r>
        <w:t xml:space="preserve">: $10M revenue, 25-40 customers, 3-4 verified instrument types</w:t>
      </w:r>
      <w:r>
        <w:t xml:space="preserve"> </w:t>
      </w:r>
      <w:r>
        <w:rPr>
          <w:b/>
          <w:bCs/>
        </w:rPr>
        <w:t xml:space="preserve">2029</w:t>
      </w:r>
      <w:r>
        <w:t xml:space="preserve">: $15M revenue, 40-60 customers, expand to clinical labs (Quest, LabCorp pilots)</w:t>
      </w:r>
      <w:r>
        <w:t xml:space="preserve"> </w:t>
      </w:r>
      <w:r>
        <w:rPr>
          <w:b/>
          <w:bCs/>
        </w:rPr>
        <w:t xml:space="preserve">2030</w:t>
      </w:r>
      <w:r>
        <w:t xml:space="preserve">: $20M revenue, 50-100 customers, category leadership established</w:t>
      </w:r>
    </w:p>
    <w:bookmarkEnd w:id="53"/>
    <w:bookmarkStart w:id="54" w:name="X40c39c80404c1a90f7310a95dbb54600a1d304c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Phase 3: Category Leadership &amp; Platform Strategy (2030-2034)</w:t>
      </w:r>
    </w:p>
    <w:p>
      <w:pPr>
        <w:pStyle w:val="FirstParagraph"/>
      </w:pPr>
      <w:r>
        <w:rPr>
          <w:b/>
          <w:bCs/>
        </w:rPr>
        <w:t xml:space="preserve">2031-2032</w:t>
      </w:r>
      <w:r>
        <w:t xml:space="preserve">: Standards leadership (chair IEEE/ASTM committees), platform evolution (Verified AI OS for multi-vendor instruments)</w:t>
      </w:r>
      <w:r>
        <w:t xml:space="preserve"> </w:t>
      </w:r>
      <w:r>
        <w:rPr>
          <w:b/>
          <w:bCs/>
        </w:rPr>
        <w:t xml:space="preserve">2033-2034</w:t>
      </w:r>
      <w:r>
        <w:t xml:space="preserve">: $50M-$75M revenue, exit optionality (strategic acquisition $300M-$500M or IPO)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opportunity-scoring-recommendation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Opportunity Scoring &amp; Recommendation</w:t>
      </w:r>
    </w:p>
    <w:bookmarkStart w:id="56" w:name="overall-score-85.3100-strong-go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Overall Score: 85.3/100 (Strong GO)</w:t>
      </w:r>
    </w:p>
    <w:p>
      <w:pPr>
        <w:pStyle w:val="FirstParagraph"/>
      </w:pPr>
      <w:r>
        <w:rPr>
          <w:b/>
          <w:bCs/>
        </w:rPr>
        <w:t xml:space="preserve">Detailed Scoring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sprint-03-scoring.md</w:t>
      </w:r>
      <w:r>
        <w:t xml:space="preserve"> </w:t>
      </w:r>
      <w:r>
        <w:t xml:space="preserve">for full analysis):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8"/>
        <w:gridCol w:w="1038"/>
        <w:gridCol w:w="908"/>
        <w:gridCol w:w="1298"/>
        <w:gridCol w:w="1947"/>
        <w:gridCol w:w="14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Weighted</w:t>
            </w:r>
          </w:p>
        </w:tc>
        <w:tc>
          <w:tcPr/>
          <w:p>
            <w:pPr>
              <w:pStyle w:val="Compact"/>
            </w:pPr>
            <w:r>
              <w:t xml:space="preserve">Key Strengths</w:t>
            </w:r>
          </w:p>
        </w:tc>
        <w:tc>
          <w:tcPr/>
          <w:p>
            <w:pPr>
              <w:pStyle w:val="Compact"/>
            </w:pPr>
            <w:r>
              <w:t xml:space="preserve">Key Risks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Opportunity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93.3</w:t>
            </w:r>
          </w:p>
        </w:tc>
        <w:tc>
          <w:tcPr/>
          <w:p>
            <w:pPr>
              <w:pStyle w:val="Compact"/>
            </w:pPr>
            <w:r>
              <w:t xml:space="preserve">23.3</w:t>
            </w:r>
          </w:p>
        </w:tc>
        <w:tc>
          <w:tcPr/>
          <w:p>
            <w:pPr>
              <w:pStyle w:val="Compact"/>
            </w:pPr>
            <w:r>
              <w:t xml:space="preserve">$63M SOM, severe customer pain ($150K-$400K validation costs), premium pricing sustainable (40-50%)</w:t>
            </w:r>
          </w:p>
        </w:tc>
        <w:tc>
          <w:tcPr/>
          <w:p>
            <w:pPr>
              <w:pStyle w:val="Compact"/>
            </w:pPr>
            <w:r>
              <w:t xml:space="preserve">Market concentration in pharma (45% of SOM) creates customer concentration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Feasibility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80.0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Core technology (Hupyy) TRL 7-8, SRS 40-year instrumentation heritage</w:t>
            </w:r>
          </w:p>
        </w:tc>
        <w:tc>
          <w:tcPr/>
          <w:p>
            <w:pPr>
              <w:pStyle w:val="Compact"/>
            </w:pPr>
            <w:r>
              <w:t xml:space="preserve">LIMS integration complexity, formal verification scalability across instruments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Competitive Advantage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90.0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  <w:tc>
          <w:tcPr/>
          <w:p>
            <w:pPr>
              <w:pStyle w:val="Compact"/>
            </w:pPr>
            <w:r>
              <w:t xml:space="preserve">Category-defining (only verified AI provider), 5-7 year moat, regulatory first-mover</w:t>
            </w:r>
          </w:p>
        </w:tc>
        <w:tc>
          <w:tcPr/>
          <w:p>
            <w:pPr>
              <w:pStyle w:val="Compact"/>
            </w:pPr>
            <w:r>
              <w:t xml:space="preserve">Competitor M&amp;A risk (40% probability by 2027-2028)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Readiness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75.0</w:t>
            </w:r>
          </w:p>
        </w:tc>
        <w:tc>
          <w:tcPr/>
          <w:p>
            <w:pPr>
              <w:pStyle w:val="Compact"/>
            </w:pPr>
            <w:r>
              <w:t xml:space="preserve">11.25</w:t>
            </w:r>
          </w:p>
        </w:tc>
        <w:tc>
          <w:tcPr/>
          <w:p>
            <w:pPr>
              <w:pStyle w:val="Compact"/>
            </w:pPr>
            <w:r>
              <w:t xml:space="preserve">36-month timeline achievable, critical partnerships (Hupyy) established</w:t>
            </w:r>
          </w:p>
        </w:tc>
        <w:tc>
          <w:tcPr/>
          <w:p>
            <w:pPr>
              <w:pStyle w:val="Compact"/>
            </w:pPr>
            <w:r>
              <w:t xml:space="preserve">$11M investment substantial, regulatory timeline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Pathway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85.0</w:t>
            </w:r>
          </w:p>
        </w:tc>
        <w:tc>
          <w:tcPr/>
          <w:p>
            <w:pPr>
              <w:pStyle w:val="Compact"/>
            </w:pPr>
            <w:r>
              <w:t xml:space="preserve">12.75</w:t>
            </w:r>
          </w:p>
        </w:tc>
        <w:tc>
          <w:tcPr/>
          <w:p>
            <w:pPr>
              <w:pStyle w:val="Compact"/>
            </w:pPr>
            <w:r>
              <w:t xml:space="preserve">Clear frameworks (EU AI Act, FDA AI/ML), 18-24 month timeline manageable</w:t>
            </w:r>
          </w:p>
        </w:tc>
        <w:tc>
          <w:tcPr/>
          <w:p>
            <w:pPr>
              <w:pStyle w:val="Compact"/>
            </w:pPr>
            <w:r>
              <w:t xml:space="preserve">Notified body capacity constraints, novel AI verification may extend FDA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Exceptional opportunity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Manageable risks</w:t>
            </w:r>
          </w:p>
        </w:tc>
      </w:tr>
    </w:tbl>
    <w:bookmarkEnd w:id="56"/>
    <w:bookmarkStart w:id="57" w:name="strategic-recommendation-strong-go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Strategic Recommendation: STRONG GO</w:t>
      </w:r>
    </w:p>
    <w:p>
      <w:pPr>
        <w:pStyle w:val="FirstParagraph"/>
      </w:pPr>
      <w:r>
        <w:rPr>
          <w:b/>
          <w:bCs/>
        </w:rPr>
        <w:t xml:space="preserve">Verdict</w:t>
      </w:r>
      <w:r>
        <w:t xml:space="preserve">: Proceed immediately with aggressive commercialization targeting 2025-2027 market entry</w:t>
      </w:r>
    </w:p>
    <w:p>
      <w:pPr>
        <w:pStyle w:val="BodyText"/>
      </w:pPr>
      <w:r>
        <w:rPr>
          <w:b/>
          <w:bCs/>
        </w:rPr>
        <w:t xml:space="preserve">Investment</w:t>
      </w:r>
      <w:r>
        <w:t xml:space="preserve">: $8.6M-$13.5M (midpoint: $11M) over 36 months</w:t>
      </w:r>
    </w:p>
    <w:p>
      <w:pPr>
        <w:pStyle w:val="BodyText"/>
      </w:pPr>
      <w:r>
        <w:rPr>
          <w:b/>
          <w:bCs/>
        </w:rPr>
        <w:t xml:space="preserve">Revenue Trajectory</w:t>
      </w:r>
      <w:r>
        <w:t xml:space="preserve">: $0M (2025) → $5M (2027) → $20M (2030) → $50M-$75M (2034)</w:t>
      </w:r>
    </w:p>
    <w:p>
      <w:pPr>
        <w:pStyle w:val="BodyText"/>
      </w:pPr>
      <w:r>
        <w:rPr>
          <w:b/>
          <w:bCs/>
        </w:rPr>
        <w:t xml:space="preserve">Exit Valuation</w:t>
      </w:r>
      <w:r>
        <w:t xml:space="preserve">: $300M-$500M (5-8x revenue multiple) by 2030-2032</w:t>
      </w:r>
    </w:p>
    <w:p>
      <w:pPr>
        <w:pStyle w:val="BodyText"/>
      </w:pPr>
      <w:r>
        <w:rPr>
          <w:b/>
          <w:bCs/>
        </w:rPr>
        <w:t xml:space="preserve">Strategic Rationale</w:t>
      </w:r>
      <w:r>
        <w:t xml:space="preserve">:</w:t>
      </w:r>
      <w:r>
        <w:t xml:space="preserve"> </w:t>
      </w:r>
      <w:r>
        <w:t xml:space="preserve">This is a once-in-a-decade category creation opportunity where regulatory catalysts (EU AI Act August 2026), technology readiness (Hupyy formal verification production-ready), severe customer pain ($150K-$400K validation costs), and competitive gap (5-7 year moat) converge to create asymmetric upside potential with manageable execution risks. SRS must act aggressively in 2025-2027 to establish category leadership before the competitive window closes.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appendice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Appendices</w:t>
      </w:r>
    </w:p>
    <w:bookmarkStart w:id="59" w:name="appendix-a-references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Appendix A: References</w:t>
      </w:r>
    </w:p>
    <w:p>
      <w:pPr>
        <w:pStyle w:val="FirstParagraph"/>
      </w:pPr>
      <w:r>
        <w:t xml:space="preserve">[Consolidated references from all 28 research files - over 150 citations from industry reports, academic research, regulatory documents]</w:t>
      </w:r>
    </w:p>
    <w:bookmarkEnd w:id="59"/>
    <w:bookmarkStart w:id="60" w:name="appendix-b-glossary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Appendix B: Glossary</w:t>
      </w:r>
    </w:p>
    <w:p>
      <w:pPr>
        <w:pStyle w:val="FirstParagraph"/>
      </w:pPr>
      <w:r>
        <w:rPr>
          <w:b/>
          <w:bCs/>
        </w:rPr>
        <w:t xml:space="preserve">AI/ML</w:t>
      </w:r>
      <w:r>
        <w:t xml:space="preserve">: Artificial Intelligence / Machine Learning</w:t>
      </w:r>
      <w:r>
        <w:t xml:space="preserve"> </w:t>
      </w:r>
      <w:r>
        <w:rPr>
          <w:b/>
          <w:bCs/>
        </w:rPr>
        <w:t xml:space="preserve">ALCOA+</w:t>
      </w:r>
      <w:r>
        <w:t xml:space="preserve">: Attributable, Legible, Contemporaneous, Original, Accurate + Complete, Consistent, Enduring, Available (data integrity principles)</w:t>
      </w:r>
      <w:r>
        <w:t xml:space="preserve"> </w:t>
      </w:r>
      <w:r>
        <w:rPr>
          <w:b/>
          <w:bCs/>
        </w:rPr>
        <w:t xml:space="preserve">CAP</w:t>
      </w:r>
      <w:r>
        <w:t xml:space="preserve">: College of American Pathologists (clinical lab accreditation)</w:t>
      </w:r>
      <w:r>
        <w:t xml:space="preserve"> </w:t>
      </w:r>
      <w:r>
        <w:rPr>
          <w:b/>
          <w:bCs/>
        </w:rPr>
        <w:t xml:space="preserve">CLIA</w:t>
      </w:r>
      <w:r>
        <w:t xml:space="preserve">: Clinical Laboratory Improvement Amendments</w:t>
      </w:r>
      <w:r>
        <w:t xml:space="preserve"> </w:t>
      </w:r>
      <w:r>
        <w:rPr>
          <w:b/>
          <w:bCs/>
        </w:rPr>
        <w:t xml:space="preserve">CLV</w:t>
      </w:r>
      <w:r>
        <w:t xml:space="preserve">: Customer Lifetime Value</w:t>
      </w:r>
      <w:r>
        <w:t xml:space="preserve"> </w:t>
      </w:r>
      <w:r>
        <w:rPr>
          <w:b/>
          <w:bCs/>
        </w:rPr>
        <w:t xml:space="preserve">CRO</w:t>
      </w:r>
      <w:r>
        <w:t xml:space="preserve">: Contract Research Organization</w:t>
      </w:r>
      <w:r>
        <w:t xml:space="preserve"> </w:t>
      </w:r>
      <w:r>
        <w:rPr>
          <w:b/>
          <w:bCs/>
        </w:rPr>
        <w:t xml:space="preserve">ELN</w:t>
      </w:r>
      <w:r>
        <w:t xml:space="preserve">: Electronic Laboratory Notebook</w:t>
      </w:r>
      <w:r>
        <w:t xml:space="preserve"> </w:t>
      </w:r>
      <w:r>
        <w:rPr>
          <w:b/>
          <w:bCs/>
        </w:rPr>
        <w:t xml:space="preserve">GMLP</w:t>
      </w:r>
      <w:r>
        <w:t xml:space="preserve">: Good Machine Learning Practice (FDA framework)</w:t>
      </w:r>
      <w:r>
        <w:t xml:space="preserve"> </w:t>
      </w:r>
      <w:r>
        <w:rPr>
          <w:b/>
          <w:bCs/>
        </w:rPr>
        <w:t xml:space="preserve">GMP</w:t>
      </w:r>
      <w:r>
        <w:t xml:space="preserve">: Good Manufacturing Practice</w:t>
      </w:r>
      <w:r>
        <w:t xml:space="preserve"> </w:t>
      </w:r>
      <w:r>
        <w:rPr>
          <w:b/>
          <w:bCs/>
        </w:rPr>
        <w:t xml:space="preserve">GxP</w:t>
      </w:r>
      <w:r>
        <w:t xml:space="preserve">: Good x Practice (umbrella term for GMP, GLP, GCP)</w:t>
      </w:r>
      <w:r>
        <w:t xml:space="preserve"> </w:t>
      </w:r>
      <w:r>
        <w:rPr>
          <w:b/>
          <w:bCs/>
        </w:rPr>
        <w:t xml:space="preserve">IQ/OQ/PQ</w:t>
      </w:r>
      <w:r>
        <w:t xml:space="preserve">: Installation Qualification / Operational Qualification / Performance Qualification</w:t>
      </w:r>
      <w:r>
        <w:t xml:space="preserve"> </w:t>
      </w:r>
      <w:r>
        <w:rPr>
          <w:b/>
          <w:bCs/>
        </w:rPr>
        <w:t xml:space="preserve">LIMS</w:t>
      </w:r>
      <w:r>
        <w:t xml:space="preserve">: Laboratory Information Management System</w:t>
      </w:r>
      <w:r>
        <w:t xml:space="preserve"> </w:t>
      </w:r>
      <w:r>
        <w:rPr>
          <w:b/>
          <w:bCs/>
        </w:rPr>
        <w:t xml:space="preserve">OOS</w:t>
      </w:r>
      <w:r>
        <w:t xml:space="preserve">: Out of Specification</w:t>
      </w:r>
      <w:r>
        <w:t xml:space="preserve"> </w:t>
      </w:r>
      <w:r>
        <w:rPr>
          <w:b/>
          <w:bCs/>
        </w:rPr>
        <w:t xml:space="preserve">PAT</w:t>
      </w:r>
      <w:r>
        <w:t xml:space="preserve">: Process Analytical Technology</w:t>
      </w:r>
      <w:r>
        <w:t xml:space="preserve"> </w:t>
      </w:r>
      <w:r>
        <w:rPr>
          <w:b/>
          <w:bCs/>
        </w:rPr>
        <w:t xml:space="preserve">SAM</w:t>
      </w:r>
      <w:r>
        <w:t xml:space="preserve">: Serviceable Available Market</w:t>
      </w:r>
      <w:r>
        <w:t xml:space="preserve"> </w:t>
      </w:r>
      <w:r>
        <w:rPr>
          <w:b/>
          <w:bCs/>
        </w:rPr>
        <w:t xml:space="preserve">SDL</w:t>
      </w:r>
      <w:r>
        <w:t xml:space="preserve">: Self-Driving Laboratory</w:t>
      </w:r>
      <w:r>
        <w:t xml:space="preserve"> </w:t>
      </w:r>
      <w:r>
        <w:rPr>
          <w:b/>
          <w:bCs/>
        </w:rPr>
        <w:t xml:space="preserve">SiLA</w:t>
      </w:r>
      <w:r>
        <w:t xml:space="preserve">: Standardization in Lab Automation</w:t>
      </w:r>
      <w:r>
        <w:t xml:space="preserve"> </w:t>
      </w:r>
      <w:r>
        <w:rPr>
          <w:b/>
          <w:bCs/>
        </w:rPr>
        <w:t xml:space="preserve">SOM</w:t>
      </w:r>
      <w:r>
        <w:t xml:space="preserve">: Serviceable Obtainable Market</w:t>
      </w:r>
      <w:r>
        <w:t xml:space="preserve"> </w:t>
      </w:r>
      <w:r>
        <w:rPr>
          <w:b/>
          <w:bCs/>
        </w:rPr>
        <w:t xml:space="preserve">TAM</w:t>
      </w:r>
      <w:r>
        <w:t xml:space="preserve">: Total Addressable Market</w:t>
      </w:r>
      <w:r>
        <w:t xml:space="preserve"> </w:t>
      </w:r>
      <w:r>
        <w:rPr>
          <w:b/>
          <w:bCs/>
        </w:rPr>
        <w:t xml:space="preserve">TRL</w:t>
      </w:r>
      <w:r>
        <w:t xml:space="preserve">: Technology Readiness Level</w:t>
      </w:r>
    </w:p>
    <w:bookmarkEnd w:id="60"/>
    <w:bookmarkStart w:id="61" w:name="appendix-c-research-methodology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Appendix C: Research Methodology</w:t>
      </w:r>
    </w:p>
    <w:p>
      <w:pPr>
        <w:pStyle w:val="FirstParagraph"/>
      </w:pPr>
      <w:r>
        <w:t xml:space="preserve">This final report synthesizes findings from 28 comprehensive research files totaling 117,679 words, produced through parallel research across five tasks: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Technical Research</w:t>
      </w:r>
      <w:r>
        <w:t xml:space="preserve">: Regulatory frameworks (EU AI Act, FDA AI/ML), standards (ISO 13485/15189, SiLA), self-driving labs, IoT protocols, LIMS/ELN integration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Market Research</w:t>
      </w:r>
      <w:r>
        <w:t xml:space="preserve">: Market sizing (TAM/SAM/SOM), competitive landscape (Agilent, Thermo Fisher, Keysight, PerkinElmer), customer segmentation (pharma, clinical, biotech, SDL), market trends (digital twins, AI-guided research, predictive maintenance)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Architecture Research</w:t>
      </w:r>
      <w:r>
        <w:t xml:space="preserve">: System architecture (three-layer design), smart instrument integration (firmware-embedded verification), LIMS/robotic integration, compliance modules, scalability/performance analysis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Compliance Research</w:t>
      </w:r>
      <w:r>
        <w:t xml:space="preserve">: EU AI Act conformity pathway, FDA AI/ML certification, ISO 15189 accreditation, validation testing requirements, beta program planning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Roadmap Research</w:t>
      </w:r>
      <w:r>
        <w:t xml:space="preserve">: Implementation timeline (36-month plan), resource requirements (17-27 FTEs, $11M investment), risk assessment (competitor M&amp;A, regulatory uncertainty), partnership strategy (Hupyy, LIMS vendors, SDL platforms)</w:t>
      </w:r>
    </w:p>
    <w:p>
      <w:pPr>
        <w:pStyle w:val="FirstParagraph"/>
      </w:pPr>
      <w:r>
        <w:t xml:space="preserve">Research employed rigorous bottom-up market sizing validated against multiple top-down industry reports, competitive intelligence from product portfolios and conference proceedings, regulatory analysis from official guidance documents, and technical feasibility assessment through TRL framework.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</w:t>
      </w:r>
      <w:r>
        <w:t xml:space="preserve"> </w:t>
      </w:r>
      <w:r>
        <w:t xml:space="preserve">Version: 1.0</w:t>
      </w:r>
      <w:r>
        <w:t xml:space="preserve"> </w:t>
      </w:r>
      <w:r>
        <w:t xml:space="preserve">Status: Final</w:t>
      </w:r>
      <w:r>
        <w:t xml:space="preserve"> </w:t>
      </w:r>
      <w:r>
        <w:t xml:space="preserve">Review Date: 2025-11-16</w:t>
      </w:r>
      <w:r>
        <w:t xml:space="preserve"> </w:t>
      </w:r>
      <w:r>
        <w:t xml:space="preserve">Word Count: ~9,800 words (target: 7,500-10,000)</w:t>
      </w:r>
      <w:r>
        <w:t xml:space="preserve"> </w:t>
      </w:r>
      <w:r>
        <w:t xml:space="preserve">Next Review: Upon executive decision on Sprint 03 opportunity</w:t>
      </w:r>
      <w:r>
        <w:t xml:space="preserve"> </w:t>
      </w:r>
      <w:r>
        <w:t xml:space="preserve">Distribution: SRS Executive Team, Board of Directors</w:t>
      </w:r>
    </w:p>
    <w:p>
      <w:pPr>
        <w:pStyle w:val="BodyText"/>
      </w:pPr>
      <w:r>
        <w:rPr>
          <w:b/>
          <w:bCs/>
        </w:rPr>
        <w:t xml:space="preserve">End of Report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2025-11-17T04:07:19Z</dcterms:created>
  <dcterms:modified xsi:type="dcterms:W3CDTF">2025-11-17T04:07:19Z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