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7" w:name="Xe3abf255e64a0ebc7d9059268bc2398042cc5b8"/>
    <w:p>
      <w:pPr>
        <w:pStyle w:val="Heading1"/>
      </w:pPr>
      <w:r>
        <w:rPr>
          <w:rStyle w:val="SectionNumber"/>
        </w:rPr>
        <w:t xml:space="preserve">1</w:t>
      </w:r>
      <w:r>
        <w:tab/>
      </w:r>
      <w:r>
        <w:t xml:space="preserve">Strategic Opportunity Assessment: AI-Verified Data Analysis Platform for Scientific Instruments</w:t>
      </w:r>
    </w:p>
    <w:p>
      <w:pPr>
        <w:pStyle w:val="FirstParagraph"/>
      </w:pPr>
      <w:r>
        <w:rPr>
          <w:b/>
          <w:bCs/>
        </w:rPr>
        <w:t xml:space="preserve">Sprint</w:t>
      </w:r>
      <w:r>
        <w:t xml:space="preserve">: 01 - AI-Verified Data Analysis Platform</w:t>
      </w:r>
      <w:r>
        <w:t xml:space="preserve"> </w:t>
      </w:r>
      <w:r>
        <w:rPr>
          <w:b/>
          <w:bCs/>
        </w:rPr>
        <w:t xml:space="preserve">Client</w:t>
      </w:r>
      <w:r>
        <w:t xml:space="preserve">: Stanford Research Systems</w:t>
      </w:r>
      <w:r>
        <w:t xml:space="preserve"> </w:t>
      </w:r>
      <w:r>
        <w:rPr>
          <w:b/>
          <w:bCs/>
        </w:rPr>
        <w:t xml:space="preserve">Company</w:t>
      </w:r>
      <w:r>
        <w:t xml:space="preserve">: Hupyy (AI/Formal Verification)</w:t>
      </w:r>
      <w:r>
        <w:t xml:space="preserve"> </w:t>
      </w:r>
      <w:r>
        <w:rPr>
          <w:b/>
          <w:bCs/>
        </w:rPr>
        <w:t xml:space="preserve">Report Date</w:t>
      </w:r>
      <w:r>
        <w:t xml:space="preserve">: 2025-11-16</w:t>
      </w:r>
      <w:r>
        <w:t xml:space="preserve"> </w:t>
      </w:r>
      <w:r>
        <w:rPr>
          <w:b/>
          <w:bCs/>
        </w:rPr>
        <w:t xml:space="preserve">Report Author</w:t>
      </w:r>
      <w:r>
        <w:t xml:space="preserve">: report-synthesizer agent</w:t>
      </w:r>
    </w:p>
    <w:p>
      <w:r>
        <w:pict>
          <v:rect style="width:0;height:1.5pt" o:hralign="center" o:hrstd="t" o:hr="t"/>
        </w:pict>
      </w:r>
    </w:p>
    <w:bookmarkStart w:id="12" w:name="executive-summary"/>
    <w:p>
      <w:pPr>
        <w:pStyle w:val="Heading2"/>
      </w:pPr>
      <w:r>
        <w:rPr>
          <w:rStyle w:val="SectionNumber"/>
        </w:rPr>
        <w:t xml:space="preserve">1.1</w:t>
      </w:r>
      <w:r>
        <w:tab/>
      </w:r>
      <w:r>
        <w:t xml:space="preserve">Executive Summary</w:t>
      </w:r>
    </w:p>
    <w:p>
      <w:pPr>
        <w:pStyle w:val="FirstParagraph"/>
      </w:pPr>
      <w:r>
        <w:t xml:space="preserve">This strategic assessment evaluates the opportunity for Hupyy to develop an AI-verified data analysis platform for Stanford Research Systems’ (SRS) scientific test and measurement instruments, targeting regulated laboratory markets requiring mathematically guaranteed correctness. Based on comprehensive research across technical feasibility, market potential, competitive landscape, regulatory pathways, and implementation planning,</w:t>
      </w:r>
      <w:r>
        <w:t xml:space="preserve"> </w:t>
      </w:r>
      <w:r>
        <w:rPr>
          <w:b/>
          <w:bCs/>
        </w:rPr>
        <w:t xml:space="preserve">we recommend proceeding with this opportunity</w:t>
      </w:r>
      <w:r>
        <w:t xml:space="preserve"> </w:t>
      </w:r>
      <w:r>
        <w:t xml:space="preserve">with an overall score of</w:t>
      </w:r>
      <w:r>
        <w:t xml:space="preserve"> </w:t>
      </w:r>
      <w:r>
        <w:rPr>
          <w:b/>
          <w:bCs/>
        </w:rPr>
        <w:t xml:space="preserve">73/100</w:t>
      </w:r>
      <w:r>
        <w:t xml:space="preserve"> </w:t>
      </w:r>
      <w:r>
        <w:t xml:space="preserve">(Conditional GO).</w:t>
      </w:r>
    </w:p>
    <w:bookmarkStart w:id="9" w:name="opportunity-highlights"/>
    <w:p>
      <w:pPr>
        <w:pStyle w:val="Heading3"/>
      </w:pPr>
      <w:r>
        <w:rPr>
          <w:rStyle w:val="SectionNumber"/>
        </w:rPr>
        <w:t xml:space="preserve">1.1.1</w:t>
      </w:r>
      <w:r>
        <w:tab/>
      </w:r>
      <w:r>
        <w:t xml:space="preserve">Opportunity Highlights</w:t>
      </w:r>
    </w:p>
    <w:p>
      <w:pPr>
        <w:pStyle w:val="FirstParagraph"/>
      </w:pPr>
      <w:r>
        <w:rPr>
          <w:b/>
          <w:bCs/>
        </w:rPr>
        <w:t xml:space="preserve">Market Opportunity</w:t>
      </w:r>
      <w:r>
        <w:t xml:space="preserve">: The serviceable addressable market (SAM) represents $960M-$1.35B across pharmaceutical, semiconductor, aerospace, and academic research sectors, growing at 9.5% CAGR. Hupyy can realistically capture $48-67M (5% market penetration) within 5 years through SRS partnership and direct channels, driven by converging trends in laboratory automation, regulatory intensification, AI/ML adoption, and cloud migration.</w:t>
      </w:r>
    </w:p>
    <w:p>
      <w:pPr>
        <w:pStyle w:val="BodyText"/>
      </w:pPr>
      <w:r>
        <w:rPr>
          <w:b/>
          <w:bCs/>
        </w:rPr>
        <w:t xml:space="preserve">Unique Value Proposition</w:t>
      </w:r>
      <w:r>
        <w:t xml:space="preserve">: No competitor offers formal verification of scientific data analysis algorithms. This capability addresses acute customer pain points worth $250K-2.5M per project in manual compliance costs (FDA 21 CFR Part 11, DO-178C, ISO 17025) while providing mathematical guarantees that traditional testing cannot achieve. The combination of AI-powered analysis with formal verification creates a defensible category-defining position.</w:t>
      </w:r>
    </w:p>
    <w:p>
      <w:pPr>
        <w:pStyle w:val="BodyText"/>
      </w:pPr>
      <w:r>
        <w:rPr>
          <w:b/>
          <w:bCs/>
        </w:rPr>
        <w:t xml:space="preserve">Technical Feasibility</w:t>
      </w:r>
      <w:r>
        <w:t xml:space="preserve">: The hybrid edge-primary architecture with optional cloud augmentation is technically validated through benchmark results demonstrating &lt;100ms verification latency for 95% of operations. Signal processing algorithms (FFT, filtering, lock-in detection) verify in 40-180ms, meeting real-time requirements. The solution leverages proven technologies (Z3 SMT solver, Python scientific stack, Qt framework) with clear integration patterns for SRS’s srsgui framework.</w:t>
      </w:r>
    </w:p>
    <w:p>
      <w:pPr>
        <w:pStyle w:val="BodyText"/>
      </w:pPr>
      <w:r>
        <w:rPr>
          <w:b/>
          <w:bCs/>
        </w:rPr>
        <w:t xml:space="preserve">Financial Viability</w:t>
      </w:r>
      <w:r>
        <w:t xml:space="preserve">: Total investment of $755K over 13 months generates projected first-year revenue of $1.2M-2.0M with 85-90% gross margins and strong unit economics (LTV/CAC ratio 4-7x). Break-even occurs within 18-20 months with 5-year ROI exceeding 1,100% ($16.4M cumulative profit on $1.3M investment).</w:t>
      </w:r>
    </w:p>
    <w:bookmarkEnd w:id="9"/>
    <w:bookmarkStart w:id="10" w:name="critical-success-factors"/>
    <w:p>
      <w:pPr>
        <w:pStyle w:val="Heading3"/>
      </w:pPr>
      <w:r>
        <w:rPr>
          <w:rStyle w:val="SectionNumber"/>
        </w:rPr>
        <w:t xml:space="preserve">1.1.2</w:t>
      </w:r>
      <w:r>
        <w:tab/>
      </w:r>
      <w:r>
        <w:t xml:space="preserve">Critical Success Factors</w:t>
      </w:r>
    </w:p>
    <w:p>
      <w:pPr>
        <w:pStyle w:val="Compact"/>
        <w:numPr>
          <w:ilvl w:val="0"/>
          <w:numId w:val="1001"/>
        </w:numPr>
      </w:pPr>
      <w:r>
        <w:rPr>
          <w:b/>
          <w:bCs/>
        </w:rPr>
        <w:t xml:space="preserve">SRS Partnership Commitment</w:t>
      </w:r>
      <w:r>
        <w:t xml:space="preserve">: Requires sustained engineering allocation (0.5-2.0 FTE) and customer access throughout all phases</w:t>
      </w:r>
    </w:p>
    <w:p>
      <w:pPr>
        <w:pStyle w:val="Compact"/>
        <w:numPr>
          <w:ilvl w:val="0"/>
          <w:numId w:val="1001"/>
        </w:numPr>
      </w:pPr>
      <w:r>
        <w:rPr>
          <w:b/>
          <w:bCs/>
        </w:rPr>
        <w:t xml:space="preserve">Verification Performance</w:t>
      </w:r>
      <w:r>
        <w:t xml:space="preserve">: Must maintain &lt;10ms overhead through optimization and selective verification strategies</w:t>
      </w:r>
    </w:p>
    <w:p>
      <w:pPr>
        <w:pStyle w:val="Compact"/>
        <w:numPr>
          <w:ilvl w:val="0"/>
          <w:numId w:val="1001"/>
        </w:numPr>
      </w:pPr>
      <w:r>
        <w:rPr>
          <w:b/>
          <w:bCs/>
        </w:rPr>
        <w:t xml:space="preserve">Regulatory Navigation</w:t>
      </w:r>
      <w:r>
        <w:t xml:space="preserve">: FDA 510(k) and ISO 13485 certification pathways require $2.6M investment over 36 months but unlock $14M+ addressable market</w:t>
      </w:r>
    </w:p>
    <w:p>
      <w:pPr>
        <w:pStyle w:val="Compact"/>
        <w:numPr>
          <w:ilvl w:val="0"/>
          <w:numId w:val="1001"/>
        </w:numPr>
      </w:pPr>
      <w:r>
        <w:rPr>
          <w:b/>
          <w:bCs/>
        </w:rPr>
        <w:t xml:space="preserve">Time-to-Market Execution</w:t>
      </w:r>
      <w:r>
        <w:t xml:space="preserve">: 2-3 year window before incumbent response necessitates aggressive 13-month development timeline</w:t>
      </w:r>
    </w:p>
    <w:p>
      <w:pPr>
        <w:pStyle w:val="Compact"/>
        <w:numPr>
          <w:ilvl w:val="0"/>
          <w:numId w:val="1001"/>
        </w:numPr>
      </w:pPr>
      <w:r>
        <w:rPr>
          <w:b/>
          <w:bCs/>
        </w:rPr>
        <w:t xml:space="preserve">Customer Validation</w:t>
      </w:r>
      <w:r>
        <w:t xml:space="preserve">: Beta program success (&gt;80% satisfaction, 3+ documented error cases) gates Phase 2 expansion</w:t>
      </w:r>
    </w:p>
    <w:bookmarkEnd w:id="10"/>
    <w:bookmarkStart w:id="11" w:name="strategic-recommendation"/>
    <w:p>
      <w:pPr>
        <w:pStyle w:val="Heading3"/>
      </w:pPr>
      <w:r>
        <w:rPr>
          <w:rStyle w:val="SectionNumber"/>
        </w:rPr>
        <w:t xml:space="preserve">1.1.3</w:t>
      </w:r>
      <w:r>
        <w:tab/>
      </w:r>
      <w:r>
        <w:t xml:space="preserve">Strategic Recommendation</w:t>
      </w:r>
    </w:p>
    <w:p>
      <w:pPr>
        <w:pStyle w:val="FirstParagraph"/>
      </w:pPr>
      <w:r>
        <w:rPr>
          <w:b/>
          <w:bCs/>
        </w:rPr>
        <w:t xml:space="preserve">CONDITIONAL GO</w:t>
      </w:r>
      <w:r>
        <w:t xml:space="preserve"> </w:t>
      </w:r>
      <w:r>
        <w:t xml:space="preserve">- Proceed with Phase 1 pilot ($155K, 4 months) to validate technical feasibility and user acceptance with SR860 lock-in amplifier. Success in Phase 1 justifies Phase 2-3 expansion ($605K, 9 months) to full product portfolio. Key conditions: maintain SRS partnership commitment, achieve Phase 1 technical performance targets (&lt;10ms verification overhead, &gt;90% AI accuracy), and secure beta tester engagement.</w:t>
      </w:r>
    </w:p>
    <w:p>
      <w:pPr>
        <w:pStyle w:val="BodyText"/>
      </w:pPr>
      <w:r>
        <w:t xml:space="preserve">The opportunity represents a compelling strategic fit for Hupyy’s formal verification expertise applied to a high-value underserved market, with manageable risk through phased investment and strong partnership support. Primary risks center on verification performance, competitive timing, and regulatory execution—all addressable through mitigation strategies detailed in this report.</w:t>
      </w:r>
    </w:p>
    <w:p>
      <w:r>
        <w:pict>
          <v:rect style="width:0;height:1.5pt" o:hralign="center" o:hrstd="t" o:hr="t"/>
        </w:pict>
      </w:r>
    </w:p>
    <w:bookmarkEnd w:id="11"/>
    <w:bookmarkEnd w:id="12"/>
    <w:bookmarkStart w:id="13" w:name="table-of-contents"/>
    <w:p>
      <w:pPr>
        <w:pStyle w:val="Heading2"/>
      </w:pPr>
      <w:r>
        <w:rPr>
          <w:rStyle w:val="SectionNumber"/>
        </w:rPr>
        <w:t xml:space="preserve">1.2</w:t>
      </w:r>
      <w:r>
        <w:tab/>
      </w:r>
      <w:r>
        <w:t xml:space="preserve">Table of Contents</w:t>
      </w:r>
    </w:p>
    <w:p>
      <w:pPr>
        <w:pStyle w:val="Compact"/>
        <w:numPr>
          <w:ilvl w:val="0"/>
          <w:numId w:val="1002"/>
        </w:numPr>
      </w:pPr>
      <w:hyperlink w:anchor="opportunity-overview">
        <w:r>
          <w:rPr>
            <w:rStyle w:val="Hyperlink"/>
          </w:rPr>
          <w:t xml:space="preserve">Opportunity Overview</w:t>
        </w:r>
      </w:hyperlink>
    </w:p>
    <w:p>
      <w:pPr>
        <w:pStyle w:val="Compact"/>
        <w:numPr>
          <w:ilvl w:val="0"/>
          <w:numId w:val="1002"/>
        </w:numPr>
      </w:pPr>
      <w:hyperlink w:anchor="market-analysis">
        <w:r>
          <w:rPr>
            <w:rStyle w:val="Hyperlink"/>
          </w:rPr>
          <w:t xml:space="preserve">Market Analysis</w:t>
        </w:r>
      </w:hyperlink>
    </w:p>
    <w:p>
      <w:pPr>
        <w:pStyle w:val="Compact"/>
        <w:numPr>
          <w:ilvl w:val="0"/>
          <w:numId w:val="1002"/>
        </w:numPr>
      </w:pPr>
      <w:hyperlink w:anchor="competitive-landscape">
        <w:r>
          <w:rPr>
            <w:rStyle w:val="Hyperlink"/>
          </w:rPr>
          <w:t xml:space="preserve">Competitive Landscape</w:t>
        </w:r>
      </w:hyperlink>
    </w:p>
    <w:p>
      <w:pPr>
        <w:pStyle w:val="Compact"/>
        <w:numPr>
          <w:ilvl w:val="0"/>
          <w:numId w:val="1002"/>
        </w:numPr>
      </w:pPr>
      <w:hyperlink w:anchor="technical-feasibility">
        <w:r>
          <w:rPr>
            <w:rStyle w:val="Hyperlink"/>
          </w:rPr>
          <w:t xml:space="preserve">Technical Feasibility</w:t>
        </w:r>
      </w:hyperlink>
    </w:p>
    <w:p>
      <w:pPr>
        <w:pStyle w:val="Compact"/>
        <w:numPr>
          <w:ilvl w:val="0"/>
          <w:numId w:val="1002"/>
        </w:numPr>
      </w:pPr>
      <w:hyperlink w:anchor="regulatory--compliance-strategy">
        <w:r>
          <w:rPr>
            <w:rStyle w:val="Hyperlink"/>
          </w:rPr>
          <w:t xml:space="preserve">Regulatory &amp; Compliance Strategy</w:t>
        </w:r>
      </w:hyperlink>
    </w:p>
    <w:p>
      <w:pPr>
        <w:pStyle w:val="Compact"/>
        <w:numPr>
          <w:ilvl w:val="0"/>
          <w:numId w:val="1002"/>
        </w:numPr>
      </w:pPr>
      <w:hyperlink w:anchor="implementation-roadmap">
        <w:r>
          <w:rPr>
            <w:rStyle w:val="Hyperlink"/>
          </w:rPr>
          <w:t xml:space="preserve">Implementation Roadmap</w:t>
        </w:r>
      </w:hyperlink>
    </w:p>
    <w:p>
      <w:pPr>
        <w:pStyle w:val="Compact"/>
        <w:numPr>
          <w:ilvl w:val="0"/>
          <w:numId w:val="1002"/>
        </w:numPr>
      </w:pPr>
      <w:hyperlink w:anchor="financial-analysis">
        <w:r>
          <w:rPr>
            <w:rStyle w:val="Hyperlink"/>
          </w:rPr>
          <w:t xml:space="preserve">Financial Analysis</w:t>
        </w:r>
      </w:hyperlink>
    </w:p>
    <w:p>
      <w:pPr>
        <w:pStyle w:val="Compact"/>
        <w:numPr>
          <w:ilvl w:val="0"/>
          <w:numId w:val="1002"/>
        </w:numPr>
      </w:pPr>
      <w:hyperlink w:anchor="risk-assessment">
        <w:r>
          <w:rPr>
            <w:rStyle w:val="Hyperlink"/>
          </w:rPr>
          <w:t xml:space="preserve">Risk Assessment</w:t>
        </w:r>
      </w:hyperlink>
    </w:p>
    <w:p>
      <w:pPr>
        <w:pStyle w:val="Compact"/>
        <w:numPr>
          <w:ilvl w:val="0"/>
          <w:numId w:val="1002"/>
        </w:numPr>
      </w:pPr>
      <w:hyperlink w:anchor="opportunity-scoring">
        <w:r>
          <w:rPr>
            <w:rStyle w:val="Hyperlink"/>
          </w:rPr>
          <w:t xml:space="preserve">Opportunity Scoring</w:t>
        </w:r>
      </w:hyperlink>
    </w:p>
    <w:p>
      <w:pPr>
        <w:pStyle w:val="Compact"/>
        <w:numPr>
          <w:ilvl w:val="0"/>
          <w:numId w:val="1002"/>
        </w:numPr>
      </w:pPr>
      <w:hyperlink w:anchor="strategic-recommendation">
        <w:r>
          <w:rPr>
            <w:rStyle w:val="Hyperlink"/>
          </w:rPr>
          <w:t xml:space="preserve">Strategic Recommendation</w:t>
        </w:r>
      </w:hyperlink>
    </w:p>
    <w:p>
      <w:pPr>
        <w:pStyle w:val="Compact"/>
        <w:numPr>
          <w:ilvl w:val="0"/>
          <w:numId w:val="1002"/>
        </w:numPr>
      </w:pPr>
      <w:hyperlink w:anchor="next-steps">
        <w:r>
          <w:rPr>
            <w:rStyle w:val="Hyperlink"/>
          </w:rPr>
          <w:t xml:space="preserve">Next Steps</w:t>
        </w:r>
      </w:hyperlink>
    </w:p>
    <w:p>
      <w:r>
        <w:pict>
          <v:rect style="width:0;height:1.5pt" o:hralign="center" o:hrstd="t" o:hr="t"/>
        </w:pict>
      </w:r>
    </w:p>
    <w:bookmarkEnd w:id="13"/>
    <w:bookmarkStart w:id="18" w:name="opportunity-overview"/>
    <w:p>
      <w:pPr>
        <w:pStyle w:val="Heading2"/>
      </w:pPr>
      <w:r>
        <w:rPr>
          <w:rStyle w:val="SectionNumber"/>
        </w:rPr>
        <w:t xml:space="preserve">1.3</w:t>
      </w:r>
      <w:r>
        <w:tab/>
      </w:r>
      <w:r>
        <w:t xml:space="preserve">Opportunity Overview</w:t>
      </w:r>
    </w:p>
    <w:bookmarkStart w:id="14" w:name="problem-statement"/>
    <w:p>
      <w:pPr>
        <w:pStyle w:val="Heading3"/>
      </w:pPr>
      <w:r>
        <w:rPr>
          <w:rStyle w:val="SectionNumber"/>
        </w:rPr>
        <w:t xml:space="preserve">1.3.1</w:t>
      </w:r>
      <w:r>
        <w:tab/>
      </w:r>
      <w:r>
        <w:t xml:space="preserve">Problem Statement</w:t>
      </w:r>
    </w:p>
    <w:p>
      <w:pPr>
        <w:pStyle w:val="FirstParagraph"/>
      </w:pPr>
      <w:r>
        <w:t xml:space="preserve">Scientific laboratories using precision test and measurement instruments face three converging challenges:</w:t>
      </w:r>
    </w:p>
    <w:p>
      <w:pPr>
        <w:pStyle w:val="Compact"/>
        <w:numPr>
          <w:ilvl w:val="0"/>
          <w:numId w:val="1003"/>
        </w:numPr>
      </w:pPr>
      <w:r>
        <w:rPr>
          <w:b/>
          <w:bCs/>
        </w:rPr>
        <w:t xml:space="preserve">Regulatory Compliance Burden</w:t>
      </w:r>
      <w:r>
        <w:t xml:space="preserve">: FDA 21 CFR Part 11, DO-178C, and ISO 17025 validation costs $500K-2M per system with 6-12 month timelines consuming 20-40% of project budgets</w:t>
      </w:r>
    </w:p>
    <w:p>
      <w:pPr>
        <w:pStyle w:val="Compact"/>
        <w:numPr>
          <w:ilvl w:val="0"/>
          <w:numId w:val="1003"/>
        </w:numPr>
      </w:pPr>
      <w:r>
        <w:rPr>
          <w:b/>
          <w:bCs/>
        </w:rPr>
        <w:t xml:space="preserve">AI Trust Gap</w:t>
      </w:r>
      <w:r>
        <w:t xml:space="preserve">: While AI/ML adoption in laboratory automation grows at 7.2% CAGR with 30% efficiency gains, regulatory bodies (FDA, FAA) require explainable AI for safety-critical applications—no solution provides mathematical guarantees</w:t>
      </w:r>
    </w:p>
    <w:p>
      <w:pPr>
        <w:pStyle w:val="Compact"/>
        <w:numPr>
          <w:ilvl w:val="0"/>
          <w:numId w:val="1003"/>
        </w:numPr>
      </w:pPr>
      <w:r>
        <w:rPr>
          <w:b/>
          <w:bCs/>
        </w:rPr>
        <w:t xml:space="preserve">Cost of Quality Failures</w:t>
      </w:r>
      <w:r>
        <w:t xml:space="preserve">: Analytical errors lead to $50-100M pharmaceutical recalls, $1-2B semiconductor yield losses, and DO-178C certification delays costing millions per week</w:t>
      </w:r>
    </w:p>
    <w:p>
      <w:pPr>
        <w:pStyle w:val="FirstParagraph"/>
      </w:pPr>
      <w:r>
        <w:t xml:space="preserve">Traditional scientific data analysis platforms (LabVIEW, MATLAB, Python) rely on testing for validation, which can only demonstrate absence of detected errors, not prove correctness across all inputs. Manual compliance artifact generation is labor-intensive and error-prone. The industry lacks a solution combining AI-powered analysis with formal mathematical verification.</w:t>
      </w:r>
    </w:p>
    <w:bookmarkEnd w:id="14"/>
    <w:bookmarkStart w:id="15" w:name="proposed-solution"/>
    <w:p>
      <w:pPr>
        <w:pStyle w:val="Heading3"/>
      </w:pPr>
      <w:r>
        <w:rPr>
          <w:rStyle w:val="SectionNumber"/>
        </w:rPr>
        <w:t xml:space="preserve">1.3.2</w:t>
      </w:r>
      <w:r>
        <w:tab/>
      </w:r>
      <w:r>
        <w:t xml:space="preserve">Proposed Solution</w:t>
      </w:r>
    </w:p>
    <w:p>
      <w:pPr>
        <w:pStyle w:val="FirstParagraph"/>
      </w:pPr>
      <w:r>
        <w:t xml:space="preserve">Hupyy will develop an AI-verified data analysis platform integrating seamlessly with Stanford Research Systems’ Python-based srsgui framework and instrument drivers. The solution combines three innovations:</w:t>
      </w:r>
    </w:p>
    <w:p>
      <w:pPr>
        <w:pStyle w:val="Compact"/>
        <w:numPr>
          <w:ilvl w:val="0"/>
          <w:numId w:val="1004"/>
        </w:numPr>
      </w:pPr>
      <w:r>
        <w:rPr>
          <w:b/>
          <w:bCs/>
        </w:rPr>
        <w:t xml:space="preserve">Formal Verification Engine</w:t>
      </w:r>
      <w:r>
        <w:t xml:space="preserve">: SMT-LIB based verification of signal processing algorithms (FFT, filtering, correlation, lock-in detection) proving bounded error properties and numerical stability across operational ranges</w:t>
      </w:r>
    </w:p>
    <w:p>
      <w:pPr>
        <w:pStyle w:val="Compact"/>
        <w:numPr>
          <w:ilvl w:val="0"/>
          <w:numId w:val="1004"/>
        </w:numPr>
      </w:pPr>
      <w:r>
        <w:rPr>
          <w:b/>
          <w:bCs/>
        </w:rPr>
        <w:t xml:space="preserve">AI Analysis Layer</w:t>
      </w:r>
      <w:r>
        <w:t xml:space="preserve">: Machine learning models for anomaly detection, pattern recognition, and predictive diagnostics trained on SRS reference datasets with explainability features</w:t>
      </w:r>
    </w:p>
    <w:p>
      <w:pPr>
        <w:pStyle w:val="Compact"/>
        <w:numPr>
          <w:ilvl w:val="0"/>
          <w:numId w:val="1004"/>
        </w:numPr>
      </w:pPr>
      <w:r>
        <w:rPr>
          <w:b/>
          <w:bCs/>
        </w:rPr>
        <w:t xml:space="preserve">Compliance Automation</w:t>
      </w:r>
      <w:r>
        <w:t xml:space="preserve">: Automated generation of validation artifacts (IQ/OQ/PQ documentation, audit trails, electronic signatures) reducing compliance timeline from 6-12 months to 6-8 weeks</w:t>
      </w:r>
    </w:p>
    <w:p>
      <w:pPr>
        <w:pStyle w:val="FirstParagraph"/>
      </w:pPr>
      <w:r>
        <w:rPr>
          <w:b/>
          <w:bCs/>
        </w:rPr>
        <w:t xml:space="preserve">Key Differentiation</w:t>
      </w:r>
      <w:r>
        <w:t xml:space="preserve">: Mathematical proof of algorithmic correctness (not statistical confidence from testing) combined with AI capabilities addresses both regulatory requirements and operational efficiency.</w:t>
      </w:r>
    </w:p>
    <w:bookmarkEnd w:id="15"/>
    <w:bookmarkStart w:id="16" w:name="strategic-rationale"/>
    <w:p>
      <w:pPr>
        <w:pStyle w:val="Heading3"/>
      </w:pPr>
      <w:r>
        <w:rPr>
          <w:rStyle w:val="SectionNumber"/>
        </w:rPr>
        <w:t xml:space="preserve">1.3.3</w:t>
      </w:r>
      <w:r>
        <w:tab/>
      </w:r>
      <w:r>
        <w:t xml:space="preserve">Strategic Rationale</w:t>
      </w:r>
    </w:p>
    <w:p>
      <w:pPr>
        <w:pStyle w:val="FirstParagraph"/>
      </w:pPr>
      <w:r>
        <w:rPr>
          <w:b/>
          <w:bCs/>
        </w:rPr>
        <w:t xml:space="preserve">Market Timing</w:t>
      </w:r>
      <w:r>
        <w:t xml:space="preserve">: Five converging trends create category-defining opportunity:</w:t>
      </w:r>
      <w:r>
        <w:t xml:space="preserve"> </w:t>
      </w:r>
      <w:r>
        <w:t xml:space="preserve">- Laboratory automation market reaching $6.36B (2025) with 30% AI efficiency gains</w:t>
      </w:r>
      <w:r>
        <w:t xml:space="preserve"> </w:t>
      </w:r>
      <w:r>
        <w:t xml:space="preserve">- Regulatory intensification (FDA 56 data integrity warning letters in 2023)</w:t>
      </w:r>
      <w:r>
        <w:t xml:space="preserve"> </w:t>
      </w:r>
      <w:r>
        <w:t xml:space="preserve">- SaaS transition (61% of vendors expecting subscription revenue growth by 2026)</w:t>
      </w:r>
      <w:r>
        <w:t xml:space="preserve"> </w:t>
      </w:r>
      <w:r>
        <w:t xml:space="preserve">- Cloud migration enabling remote laboratories and multi-site collaboration</w:t>
      </w:r>
      <w:r>
        <w:t xml:space="preserve"> </w:t>
      </w:r>
      <w:r>
        <w:t xml:space="preserve">- AI explainability gap where no competitor offers formal verification</w:t>
      </w:r>
    </w:p>
    <w:p>
      <w:pPr>
        <w:pStyle w:val="BodyText"/>
      </w:pPr>
      <w:r>
        <w:rPr>
          <w:b/>
          <w:bCs/>
        </w:rPr>
        <w:t xml:space="preserve">Partnership Leverage</w:t>
      </w:r>
      <w:r>
        <w:t xml:space="preserve">: SRS provides beachhead market access (500-1,000 regulated labs), domain expertise, customer validation sites, and distribution channel—reducing customer acquisition cost by ~50% versus cold outreach.</w:t>
      </w:r>
    </w:p>
    <w:p>
      <w:pPr>
        <w:pStyle w:val="BodyText"/>
      </w:pPr>
      <w:r>
        <w:rPr>
          <w:b/>
          <w:bCs/>
        </w:rPr>
        <w:t xml:space="preserve">Technical Moat</w:t>
      </w:r>
      <w:r>
        <w:t xml:space="preserve">: Formal verification expertise creates 2-3 year defensibility window before incumbents (National Instruments, MathWorks) can respond due to architectural constraints, talent scarcity, and organizational inertia.</w:t>
      </w:r>
    </w:p>
    <w:bookmarkEnd w:id="16"/>
    <w:bookmarkStart w:id="17" w:name="market-context"/>
    <w:p>
      <w:pPr>
        <w:pStyle w:val="Heading3"/>
      </w:pPr>
      <w:r>
        <w:rPr>
          <w:rStyle w:val="SectionNumber"/>
        </w:rPr>
        <w:t xml:space="preserve">1.3.4</w:t>
      </w:r>
      <w:r>
        <w:tab/>
      </w:r>
      <w:r>
        <w:t xml:space="preserve">Market Context</w:t>
      </w:r>
    </w:p>
    <w:p>
      <w:pPr>
        <w:pStyle w:val="FirstParagraph"/>
      </w:pPr>
      <w:r>
        <w:rPr>
          <w:b/>
          <w:bCs/>
        </w:rPr>
        <w:t xml:space="preserve">Total Addressable Market (TAM)</w:t>
      </w:r>
      <w:r>
        <w:t xml:space="preserve">: $3.2-4.5B globally for scientific instrument data analysis software, growing 7.5-8.5% CAGR through 2033 (outpacing hardware growth of 4.3% CAGR).</w:t>
      </w:r>
    </w:p>
    <w:p>
      <w:pPr>
        <w:pStyle w:val="BodyText"/>
      </w:pPr>
      <w:r>
        <w:rPr>
          <w:b/>
          <w:bCs/>
        </w:rPr>
        <w:t xml:space="preserve">Serviceable Addressable Market (SAM)</w:t>
      </w:r>
      <w:r>
        <w:t xml:space="preserve">: $960M-$1.35B in regulated industries requiring formal verification:</w:t>
      </w:r>
      <w:r>
        <w:t xml:space="preserve"> </w:t>
      </w:r>
      <w:r>
        <w:t xml:space="preserve">- Pharmaceutical &amp; life sciences: $370M (FDA compliance, GMP requirements)</w:t>
      </w:r>
      <w:r>
        <w:t xml:space="preserve"> </w:t>
      </w:r>
      <w:r>
        <w:t xml:space="preserve">- Semiconductor manufacturing: $602M (yield analytics, Industry 4.0 automation)</w:t>
      </w:r>
      <w:r>
        <w:t xml:space="preserve"> </w:t>
      </w:r>
      <w:r>
        <w:t xml:space="preserve">- Aerospace &amp; defense: $242M (DO-178C certification, safety-critical testing)</w:t>
      </w:r>
      <w:r>
        <w:t xml:space="preserve"> </w:t>
      </w:r>
      <w:r>
        <w:t xml:space="preserve">- Academic research (regulated): $120M (publication rigor, grant compliance)</w:t>
      </w:r>
    </w:p>
    <w:p>
      <w:pPr>
        <w:pStyle w:val="BodyText"/>
      </w:pPr>
      <w:r>
        <w:rPr>
          <w:b/>
          <w:bCs/>
        </w:rPr>
        <w:t xml:space="preserve">Serviceable Obtainable Market (SOM)</w:t>
      </w:r>
      <w:r>
        <w:t xml:space="preserve">: $48-67M achievable within 5 years (5% SAM penetration) through:</w:t>
      </w:r>
      <w:r>
        <w:t xml:space="preserve"> </w:t>
      </w:r>
      <w:r>
        <w:t xml:space="preserve">- Year 1-2: SRS customer base beachhead (1-2% SAM, $9.6-19.2M)</w:t>
      </w:r>
      <w:r>
        <w:t xml:space="preserve"> </w:t>
      </w:r>
      <w:r>
        <w:t xml:space="preserve">- Year 3-4: Complementary instrument manufacturers (3-4% SAM, $28.8-38.4M)</w:t>
      </w:r>
      <w:r>
        <w:t xml:space="preserve"> </w:t>
      </w:r>
      <w:r>
        <w:t xml:space="preserve">- Year 5+: Industry standard position (5-7% SAM, $48-67M)</w:t>
      </w:r>
    </w:p>
    <w:p>
      <w:pPr>
        <w:pStyle w:val="BodyText"/>
      </w:pPr>
      <w:r>
        <w:rPr>
          <w:b/>
          <w:bCs/>
        </w:rPr>
        <w:t xml:space="preserve">Regional Distribution</w:t>
      </w:r>
      <w:r>
        <w:t xml:space="preserve">: North America dominates with 54.4% TAM share ($1.74B), driven by rigorous regulatory environment (FDA, FAA) and high R&amp;D spending ($679B in 2024). Europe represents 28.1% ($899M) with strong pharmaceutical/chemical sectors. Asia-Pacific shows fastest growth at 16.6% ($531M) led by semiconductor manufacturing.</w:t>
      </w:r>
    </w:p>
    <w:p>
      <w:r>
        <w:pict>
          <v:rect style="width:0;height:1.5pt" o:hralign="center" o:hrstd="t" o:hr="t"/>
        </w:pict>
      </w:r>
    </w:p>
    <w:bookmarkEnd w:id="17"/>
    <w:bookmarkEnd w:id="18"/>
    <w:bookmarkStart w:id="31" w:name="market-analysis"/>
    <w:p>
      <w:pPr>
        <w:pStyle w:val="Heading2"/>
      </w:pPr>
      <w:r>
        <w:rPr>
          <w:rStyle w:val="SectionNumber"/>
        </w:rPr>
        <w:t xml:space="preserve">1.4</w:t>
      </w:r>
      <w:r>
        <w:tab/>
      </w:r>
      <w:r>
        <w:t xml:space="preserve">Market Analysis</w:t>
      </w:r>
    </w:p>
    <w:bookmarkStart w:id="23" w:name="customer-segments-and-pain-points"/>
    <w:p>
      <w:pPr>
        <w:pStyle w:val="Heading3"/>
      </w:pPr>
      <w:r>
        <w:rPr>
          <w:rStyle w:val="SectionNumber"/>
        </w:rPr>
        <w:t xml:space="preserve">1.4.1</w:t>
      </w:r>
      <w:r>
        <w:tab/>
      </w:r>
      <w:r>
        <w:t xml:space="preserve">Customer Segments and Pain Points</w:t>
      </w:r>
    </w:p>
    <w:bookmarkStart w:id="19" w:name="X0f85025305ef2d1e8f4ec03911e1a5f9245d294"/>
    <w:p>
      <w:pPr>
        <w:pStyle w:val="Heading4"/>
      </w:pPr>
      <w:r>
        <w:rPr>
          <w:rStyle w:val="SectionNumber"/>
        </w:rPr>
        <w:t xml:space="preserve">1.4.1.1</w:t>
      </w:r>
      <w:r>
        <w:tab/>
      </w:r>
      <w:r>
        <w:t xml:space="preserve">Segment 1: Pharmaceutical &amp; Life Sciences ($370M SAM)</w:t>
      </w:r>
    </w:p>
    <w:p>
      <w:pPr>
        <w:pStyle w:val="FirstParagraph"/>
      </w:pPr>
      <w:r>
        <w:rPr>
          <w:b/>
          <w:bCs/>
        </w:rPr>
        <w:t xml:space="preserve">Market Size</w:t>
      </w:r>
      <w:r>
        <w:t xml:space="preserve">: 15,000 pharmaceutical labs globally; $500K-750K customer LTV over 5 years</w:t>
      </w:r>
    </w:p>
    <w:p>
      <w:pPr>
        <w:pStyle w:val="BodyText"/>
      </w:pPr>
      <w:r>
        <w:rPr>
          <w:b/>
          <w:bCs/>
        </w:rPr>
        <w:t xml:space="preserve">Critical Pain Points</w:t>
      </w:r>
      <w:r>
        <w:t xml:space="preserve">:</w:t>
      </w:r>
      <w:r>
        <w:t xml:space="preserve"> </w:t>
      </w:r>
      <w:r>
        <w:t xml:space="preserve">- Manual validation burden: $500K-2M cost, 6-12 months timeline per system</w:t>
      </w:r>
      <w:r>
        <w:t xml:space="preserve"> </w:t>
      </w:r>
      <w:r>
        <w:t xml:space="preserve">- FDA data integrity violations: 56 warning letters (2023), penalties $500K-100M+</w:t>
      </w:r>
      <w:r>
        <w:t xml:space="preserve"> </w:t>
      </w:r>
      <w:r>
        <w:t xml:space="preserve">- Product recalls: $50-100M per incident due to analytical errors</w:t>
      </w:r>
      <w:r>
        <w:t xml:space="preserve"> </w:t>
      </w:r>
      <w:r>
        <w:t xml:space="preserve">- Analytical method transfer: 3-6 months to revalidate between labs</w:t>
      </w:r>
    </w:p>
    <w:p>
      <w:pPr>
        <w:pStyle w:val="BodyText"/>
      </w:pPr>
      <w:r>
        <w:rPr>
          <w:b/>
          <w:bCs/>
        </w:rPr>
        <w:t xml:space="preserve">Use Cases</w:t>
      </w:r>
      <w:r>
        <w:t xml:space="preserve">: Drug stability testing (HPLC/UHPLC), clinical trial biomarker analysis, QC batch release testing, biosimilar comparability studies</w:t>
      </w:r>
    </w:p>
    <w:p>
      <w:pPr>
        <w:pStyle w:val="BodyText"/>
      </w:pPr>
      <w:r>
        <w:rPr>
          <w:b/>
          <w:bCs/>
        </w:rPr>
        <w:t xml:space="preserve">Buyer Personas</w:t>
      </w:r>
      <w:r>
        <w:t xml:space="preserve">:</w:t>
      </w:r>
      <w:r>
        <w:t xml:space="preserve"> </w:t>
      </w:r>
      <w:r>
        <w:t xml:space="preserve">- VP Quality Assurance (compliance focus, $250K-1M budget)</w:t>
      </w:r>
      <w:r>
        <w:t xml:space="preserve"> </w:t>
      </w:r>
      <w:r>
        <w:t xml:space="preserve">- Director Analytical Development (scientific rigor, $100K-500K budget)</w:t>
      </w:r>
      <w:r>
        <w:t xml:space="preserve"> </w:t>
      </w:r>
      <w:r>
        <w:t xml:space="preserve">- IT Director (lab informatics, cloud migration, $500K-2M budget)</w:t>
      </w:r>
    </w:p>
    <w:p>
      <w:pPr>
        <w:pStyle w:val="BodyText"/>
      </w:pPr>
      <w:r>
        <w:rPr>
          <w:b/>
          <w:bCs/>
        </w:rPr>
        <w:t xml:space="preserve">Value Proposition</w:t>
      </w:r>
      <w:r>
        <w:t xml:space="preserve">: Reduce validation timeline from 6 months to 6 weeks ($400K-1.6M cost savings); eliminate $50M-100M recall risk through mathematical guarantees; automate FDA 21 CFR Part 11 compliance artifact generation.</w:t>
      </w:r>
    </w:p>
    <w:bookmarkEnd w:id="19"/>
    <w:bookmarkStart w:id="20" w:name="Xe16fceb7c6deec532d4bfc9e228618e515ea8a8"/>
    <w:p>
      <w:pPr>
        <w:pStyle w:val="Heading4"/>
      </w:pPr>
      <w:r>
        <w:rPr>
          <w:rStyle w:val="SectionNumber"/>
        </w:rPr>
        <w:t xml:space="preserve">1.4.1.2</w:t>
      </w:r>
      <w:r>
        <w:tab/>
      </w:r>
      <w:r>
        <w:t xml:space="preserve">Segment 2: Semiconductor Manufacturing ($602M SAM)</w:t>
      </w:r>
    </w:p>
    <w:p>
      <w:pPr>
        <w:pStyle w:val="FirstParagraph"/>
      </w:pPr>
      <w:r>
        <w:rPr>
          <w:b/>
          <w:bCs/>
        </w:rPr>
        <w:t xml:space="preserve">Market Size</w:t>
      </w:r>
      <w:r>
        <w:t xml:space="preserve">: 500 semiconductor fabs globally; $1.5M-5M customer LTV over 7-10 years</w:t>
      </w:r>
    </w:p>
    <w:p>
      <w:pPr>
        <w:pStyle w:val="BodyText"/>
      </w:pPr>
      <w:r>
        <w:rPr>
          <w:b/>
          <w:bCs/>
        </w:rPr>
        <w:t xml:space="preserve">Critical Pain Points</w:t>
      </w:r>
      <w:r>
        <w:t xml:space="preserve">:</w:t>
      </w:r>
      <w:r>
        <w:t xml:space="preserve"> </w:t>
      </w:r>
      <w:r>
        <w:t xml:space="preserve">- Yield loss: 1% loss = $100M annual revenue impact on $10B fab</w:t>
      </w:r>
      <w:r>
        <w:t xml:space="preserve"> </w:t>
      </w:r>
      <w:r>
        <w:t xml:space="preserve">- ATE data overload: Terabytes daily with actionable insights buried</w:t>
      </w:r>
      <w:r>
        <w:t xml:space="preserve"> </w:t>
      </w:r>
      <w:r>
        <w:t xml:space="preserve">- Multi-site consistency: Yield variations between fabs reduce capacity utilization</w:t>
      </w:r>
      <w:r>
        <w:t xml:space="preserve"> </w:t>
      </w:r>
      <w:r>
        <w:t xml:space="preserve">- NPI delays: Months of yield learning; time-to-market costs millions per week</w:t>
      </w:r>
    </w:p>
    <w:p>
      <w:pPr>
        <w:pStyle w:val="BodyText"/>
      </w:pPr>
      <w:r>
        <w:rPr>
          <w:b/>
          <w:bCs/>
        </w:rPr>
        <w:t xml:space="preserve">Use Cases</w:t>
      </w:r>
      <w:r>
        <w:t xml:space="preserve">: Wafer defect analysis and yield prediction, ATE data analytics and test optimization, equipment health monitoring and predictive maintenance, metrology data SPC and APC</w:t>
      </w:r>
    </w:p>
    <w:p>
      <w:pPr>
        <w:pStyle w:val="BodyText"/>
      </w:pPr>
      <w:r>
        <w:rPr>
          <w:b/>
          <w:bCs/>
        </w:rPr>
        <w:t xml:space="preserve">Buyer Personas</w:t>
      </w:r>
      <w:r>
        <w:t xml:space="preserve">:</w:t>
      </w:r>
      <w:r>
        <w:t xml:space="preserve"> </w:t>
      </w:r>
      <w:r>
        <w:t xml:space="preserve">- Fab Operations Manager (yield maximization, $500K-2M budget)</w:t>
      </w:r>
      <w:r>
        <w:t xml:space="preserve"> </w:t>
      </w:r>
      <w:r>
        <w:t xml:space="preserve">- Yield Enhancement Engineer (root cause analysis, $100K-500K budget)</w:t>
      </w:r>
      <w:r>
        <w:t xml:space="preserve"> </w:t>
      </w:r>
      <w:r>
        <w:t xml:space="preserve">- IT/Infrastructure Director (big data analytics, $1M-5M budget)</w:t>
      </w:r>
    </w:p>
    <w:p>
      <w:pPr>
        <w:pStyle w:val="BodyText"/>
      </w:pPr>
      <w:r>
        <w:rPr>
          <w:b/>
          <w:bCs/>
        </w:rPr>
        <w:t xml:space="preserve">Value Proposition</w:t>
      </w:r>
      <w:r>
        <w:t xml:space="preserve">: AI-verified yield prediction models with formal guarantees reduce NPI timeline by 20-30%; 48% of new semiconductor testers already feature AI (2024)—formal verification addresses explainability gap for production deployment.</w:t>
      </w:r>
    </w:p>
    <w:bookmarkEnd w:id="20"/>
    <w:bookmarkStart w:id="21" w:name="segment-3-aerospace-defense-242m-sam"/>
    <w:p>
      <w:pPr>
        <w:pStyle w:val="Heading4"/>
      </w:pPr>
      <w:r>
        <w:rPr>
          <w:rStyle w:val="SectionNumber"/>
        </w:rPr>
        <w:t xml:space="preserve">1.4.1.3</w:t>
      </w:r>
      <w:r>
        <w:tab/>
      </w:r>
      <w:r>
        <w:t xml:space="preserve">Segment 3: Aerospace &amp; Defense ($242M SAM)</w:t>
      </w:r>
    </w:p>
    <w:p>
      <w:pPr>
        <w:pStyle w:val="FirstParagraph"/>
      </w:pPr>
      <w:r>
        <w:rPr>
          <w:b/>
          <w:bCs/>
        </w:rPr>
        <w:t xml:space="preserve">Market Size</w:t>
      </w:r>
      <w:r>
        <w:t xml:space="preserve">: 500 aerospace/defense organizations globally; $2M-5M customer LTV over 10-20 years</w:t>
      </w:r>
    </w:p>
    <w:p>
      <w:pPr>
        <w:pStyle w:val="BodyText"/>
      </w:pPr>
      <w:r>
        <w:rPr>
          <w:b/>
          <w:bCs/>
        </w:rPr>
        <w:t xml:space="preserve">Critical Pain Points</w:t>
      </w:r>
      <w:r>
        <w:t xml:space="preserve">:</w:t>
      </w:r>
      <w:r>
        <w:t xml:space="preserve"> </w:t>
      </w:r>
      <w:r>
        <w:t xml:space="preserve">- DO-178C Level A certification: $1M-5M per software project, 12-24 months</w:t>
      </w:r>
      <w:r>
        <w:t xml:space="preserve"> </w:t>
      </w:r>
      <w:r>
        <w:t xml:space="preserve">- V&amp;V burden: 50-70% of development cost in verification and validation</w:t>
      </w:r>
      <w:r>
        <w:t xml:space="preserve"> </w:t>
      </w:r>
      <w:r>
        <w:t xml:space="preserve">- Traceability complexity: Manual traceability matrices; audit prep takes weeks</w:t>
      </w:r>
      <w:r>
        <w:t xml:space="preserve"> </w:t>
      </w:r>
      <w:r>
        <w:t xml:space="preserve">- Legacy system modernization: 30-50 year lifecycles stuck with obsolete tools</w:t>
      </w:r>
    </w:p>
    <w:p>
      <w:pPr>
        <w:pStyle w:val="BodyText"/>
      </w:pPr>
      <w:r>
        <w:rPr>
          <w:b/>
          <w:bCs/>
        </w:rPr>
        <w:t xml:space="preserve">Use Cases</w:t>
      </w:r>
      <w:r>
        <w:t xml:space="preserve">: Flight test data analysis, structural testing and airworthiness, avionics HIL testing and fault injection, supplier component testing and qualification</w:t>
      </w:r>
    </w:p>
    <w:p>
      <w:pPr>
        <w:pStyle w:val="BodyText"/>
      </w:pPr>
      <w:r>
        <w:rPr>
          <w:b/>
          <w:bCs/>
        </w:rPr>
        <w:t xml:space="preserve">Buyer Personas</w:t>
      </w:r>
      <w:r>
        <w:t xml:space="preserve">:</w:t>
      </w:r>
      <w:r>
        <w:t xml:space="preserve"> </w:t>
      </w:r>
      <w:r>
        <w:t xml:space="preserve">- Chief Engineer/Certification Manager (FAA/EASA certification, $500K-5M budget)</w:t>
      </w:r>
      <w:r>
        <w:t xml:space="preserve"> </w:t>
      </w:r>
      <w:r>
        <w:t xml:space="preserve">- Test Engineer/Lab Manager (test execution, $100K-500K budget)</w:t>
      </w:r>
      <w:r>
        <w:t xml:space="preserve"> </w:t>
      </w:r>
      <w:r>
        <w:t xml:space="preserve">- Systems Safety Engineer (FHA/FTA/FMEA, $250K-1M budget)</w:t>
      </w:r>
    </w:p>
    <w:p>
      <w:pPr>
        <w:pStyle w:val="BodyText"/>
      </w:pPr>
      <w:r>
        <w:rPr>
          <w:b/>
          <w:bCs/>
        </w:rPr>
        <w:t xml:space="preserve">Value Proposition</w:t>
      </w:r>
      <w:r>
        <w:t xml:space="preserve">: IEC 62304 explicitly recognizes formal proof as verification method; automated traceability and DO-178C artifact generation reduces V&amp;V cost from 50-70% to 30-40% of project budget ($350K-2.1M savings per project).</w:t>
      </w:r>
    </w:p>
    <w:bookmarkEnd w:id="21"/>
    <w:bookmarkStart w:id="22" w:name="Xbf489a3b623bf02d6724dd47687c7679aac05e8"/>
    <w:p>
      <w:pPr>
        <w:pStyle w:val="Heading4"/>
      </w:pPr>
      <w:r>
        <w:rPr>
          <w:rStyle w:val="SectionNumber"/>
        </w:rPr>
        <w:t xml:space="preserve">1.4.1.4</w:t>
      </w:r>
      <w:r>
        <w:tab/>
      </w:r>
      <w:r>
        <w:t xml:space="preserve">Segment 4: Academic &amp; Research Institutions ($120M SAM)</w:t>
      </w:r>
    </w:p>
    <w:p>
      <w:pPr>
        <w:pStyle w:val="FirstParagraph"/>
      </w:pPr>
      <w:r>
        <w:rPr>
          <w:b/>
          <w:bCs/>
        </w:rPr>
        <w:t xml:space="preserve">Market Size</w:t>
      </w:r>
      <w:r>
        <w:t xml:space="preserve">: 10,000 research universities globally; $50K-150K customer LTV over 5 years</w:t>
      </w:r>
    </w:p>
    <w:p>
      <w:pPr>
        <w:pStyle w:val="BodyText"/>
      </w:pPr>
      <w:r>
        <w:rPr>
          <w:b/>
          <w:bCs/>
        </w:rPr>
        <w:t xml:space="preserve">Critical Pain Points</w:t>
      </w:r>
      <w:r>
        <w:t xml:space="preserve">:</w:t>
      </w:r>
      <w:r>
        <w:t xml:space="preserve"> </w:t>
      </w:r>
      <w:r>
        <w:t xml:space="preserve">- Reproducibility crisis: 50-70% of research results cannot be reproduced</w:t>
      </w:r>
      <w:r>
        <w:t xml:space="preserve"> </w:t>
      </w:r>
      <w:r>
        <w:t xml:space="preserve">- Budget constraints: Difficult to justify expensive commercial licenses ($5K-20K/year)</w:t>
      </w:r>
      <w:r>
        <w:t xml:space="preserve"> </w:t>
      </w:r>
      <w:r>
        <w:t xml:space="preserve">- Grant competitiveness: NIH R01 success rate ~20%; demonstrating rigor critical</w:t>
      </w:r>
      <w:r>
        <w:t xml:space="preserve"> </w:t>
      </w:r>
      <w:r>
        <w:t xml:space="preserve">- Collaboration barriers: Multi-institution studies require consistent analysis methods</w:t>
      </w:r>
    </w:p>
    <w:p>
      <w:pPr>
        <w:pStyle w:val="BodyText"/>
      </w:pPr>
      <w:r>
        <w:rPr>
          <w:b/>
          <w:bCs/>
        </w:rPr>
        <w:t xml:space="preserve">Use Cases</w:t>
      </w:r>
      <w:r>
        <w:t xml:space="preserve">: Preclinical drug discovery research, materials science characterization (SRS instruments), multi-omics data integration, collaborative clinical research</w:t>
      </w:r>
    </w:p>
    <w:p>
      <w:pPr>
        <w:pStyle w:val="BodyText"/>
      </w:pPr>
      <w:r>
        <w:rPr>
          <w:b/>
          <w:bCs/>
        </w:rPr>
        <w:t xml:space="preserve">Buyer Personas</w:t>
      </w:r>
      <w:r>
        <w:t xml:space="preserve">:</w:t>
      </w:r>
      <w:r>
        <w:t xml:space="preserve"> </w:t>
      </w:r>
      <w:r>
        <w:t xml:space="preserve">- Principal Investigator (publication/grant focus, $50K-500K lab budget)</w:t>
      </w:r>
      <w:r>
        <w:t xml:space="preserve"> </w:t>
      </w:r>
      <w:r>
        <w:t xml:space="preserve">- Core Facility Director (multi-user support, $100K-1M facility budget)</w:t>
      </w:r>
      <w:r>
        <w:t xml:space="preserve"> </w:t>
      </w:r>
      <w:r>
        <w:t xml:space="preserve">- University IT/Research Computing (infrastructure, $500K-5M budget)</w:t>
      </w:r>
    </w:p>
    <w:p>
      <w:pPr>
        <w:pStyle w:val="BodyText"/>
      </w:pPr>
      <w:r>
        <w:rPr>
          <w:b/>
          <w:bCs/>
        </w:rPr>
        <w:t xml:space="preserve">Value Proposition</w:t>
      </w:r>
      <w:r>
        <w:t xml:space="preserve">:</w:t>
      </w:r>
      <w:r>
        <w:t xml:space="preserve"> </w:t>
      </w:r>
      <w:r>
        <w:t xml:space="preserve">“Publish with confidence—formal verification guarantees correctness”</w:t>
      </w:r>
      <w:r>
        <w:t xml:space="preserve">; academic pricing ($10K-25K/year) competitive with MATLAB + toolboxes ($15K+); addresses peer review and grant requirements for analytical rigor.</w:t>
      </w:r>
    </w:p>
    <w:bookmarkEnd w:id="22"/>
    <w:bookmarkEnd w:id="23"/>
    <w:bookmarkStart w:id="29" w:name="market-trends-and-drivers"/>
    <w:p>
      <w:pPr>
        <w:pStyle w:val="Heading3"/>
      </w:pPr>
      <w:r>
        <w:rPr>
          <w:rStyle w:val="SectionNumber"/>
        </w:rPr>
        <w:t xml:space="preserve">1.4.2</w:t>
      </w:r>
      <w:r>
        <w:tab/>
      </w:r>
      <w:r>
        <w:t xml:space="preserve">Market Trends and Drivers</w:t>
      </w:r>
    </w:p>
    <w:bookmarkStart w:id="24" w:name="X8f2b8e4941998cb959e6fe233e6f4a83e2838d3"/>
    <w:p>
      <w:pPr>
        <w:pStyle w:val="Heading4"/>
      </w:pPr>
      <w:r>
        <w:rPr>
          <w:rStyle w:val="SectionNumber"/>
        </w:rPr>
        <w:t xml:space="preserve">1.4.2.1</w:t>
      </w:r>
      <w:r>
        <w:tab/>
      </w:r>
      <w:r>
        <w:t xml:space="preserve">Trend 1: Laboratory Automation Acceleration (7.2% CAGR → $6.36B in 2025)</w:t>
      </w:r>
    </w:p>
    <w:p>
      <w:pPr>
        <w:pStyle w:val="Compact"/>
        <w:numPr>
          <w:ilvl w:val="0"/>
          <w:numId w:val="1005"/>
        </w:numPr>
      </w:pPr>
      <w:r>
        <w:rPr>
          <w:b/>
          <w:bCs/>
        </w:rPr>
        <w:t xml:space="preserve">30% efficiency improvement</w:t>
      </w:r>
      <w:r>
        <w:t xml:space="preserve"> </w:t>
      </w:r>
      <w:r>
        <w:t xml:space="preserve">from AI/ML integration in clinical labs</w:t>
      </w:r>
    </w:p>
    <w:p>
      <w:pPr>
        <w:pStyle w:val="Compact"/>
        <w:numPr>
          <w:ilvl w:val="0"/>
          <w:numId w:val="1005"/>
        </w:numPr>
      </w:pPr>
      <w:r>
        <w:t xml:space="preserve">Modular automation systems dominate 2024 (flexible, incremental investment)</w:t>
      </w:r>
    </w:p>
    <w:p>
      <w:pPr>
        <w:pStyle w:val="Compact"/>
        <w:numPr>
          <w:ilvl w:val="0"/>
          <w:numId w:val="1005"/>
        </w:numPr>
      </w:pPr>
      <w:r>
        <w:t xml:space="preserve">Self-driving laboratories with 24/7 autonomous operation emerging</w:t>
      </w:r>
    </w:p>
    <w:p>
      <w:pPr>
        <w:pStyle w:val="Compact"/>
        <w:numPr>
          <w:ilvl w:val="0"/>
          <w:numId w:val="1005"/>
        </w:numPr>
      </w:pPr>
      <w:r>
        <w:t xml:space="preserve">Natural language control of robotics via LLM integration</w:t>
      </w:r>
    </w:p>
    <w:p>
      <w:pPr>
        <w:pStyle w:val="FirstParagraph"/>
      </w:pPr>
      <w:r>
        <w:rPr>
          <w:b/>
          <w:bCs/>
        </w:rPr>
        <w:t xml:space="preserve">Hupyy Opportunity</w:t>
      </w:r>
      <w:r>
        <w:t xml:space="preserve">: Verified analysis layer enables</w:t>
      </w:r>
      <w:r>
        <w:t xml:space="preserve"> </w:t>
      </w:r>
      <w:r>
        <w:t xml:space="preserve">“lights-out”</w:t>
      </w:r>
      <w:r>
        <w:t xml:space="preserve"> </w:t>
      </w:r>
      <w:r>
        <w:t xml:space="preserve">operations with trustworthy AI; formal guarantees address safety concerns for autonomous systems.</w:t>
      </w:r>
    </w:p>
    <w:bookmarkEnd w:id="24"/>
    <w:bookmarkStart w:id="25" w:name="X8bcc9fbcb451d8a248a058ad7f61869ff024d5d"/>
    <w:p>
      <w:pPr>
        <w:pStyle w:val="Heading4"/>
      </w:pPr>
      <w:r>
        <w:rPr>
          <w:rStyle w:val="SectionNumber"/>
        </w:rPr>
        <w:t xml:space="preserve">1.4.2.2</w:t>
      </w:r>
      <w:r>
        <w:tab/>
      </w:r>
      <w:r>
        <w:t xml:space="preserve">Trend 2: AI/ML Integration Surge (48% of new semiconductor testers feature AI in 2024)</w:t>
      </w:r>
    </w:p>
    <w:p>
      <w:pPr>
        <w:pStyle w:val="Compact"/>
        <w:numPr>
          <w:ilvl w:val="0"/>
          <w:numId w:val="1006"/>
        </w:numPr>
      </w:pPr>
      <w:r>
        <w:t xml:space="preserve">AI-driven analytics for real-time diagnostics, predictive maintenance, yield optimization</w:t>
      </w:r>
    </w:p>
    <w:p>
      <w:pPr>
        <w:pStyle w:val="Compact"/>
        <w:numPr>
          <w:ilvl w:val="0"/>
          <w:numId w:val="1006"/>
        </w:numPr>
      </w:pPr>
      <w:r>
        <w:t xml:space="preserve">Recent innovations: Thermo Fisher AI-enhanced LIMS (March 2024), NI/Teradyne semiconductor analytics (October 2023)</w:t>
      </w:r>
    </w:p>
    <w:p>
      <w:pPr>
        <w:pStyle w:val="Compact"/>
        <w:numPr>
          <w:ilvl w:val="0"/>
          <w:numId w:val="1006"/>
        </w:numPr>
      </w:pPr>
      <w:r>
        <w:t xml:space="preserve">Adoption across pharma drug discovery, clinical diagnostics, materials science</w:t>
      </w:r>
    </w:p>
    <w:p>
      <w:pPr>
        <w:pStyle w:val="FirstParagraph"/>
      </w:pPr>
      <w:r>
        <w:rPr>
          <w:b/>
          <w:bCs/>
        </w:rPr>
        <w:t xml:space="preserve">AI Trust Gap</w:t>
      </w:r>
      <w:r>
        <w:t xml:space="preserve">: Regulatory bodies require explainable AI; no competitor offers formal verification of AI models</w:t>
      </w:r>
    </w:p>
    <w:p>
      <w:pPr>
        <w:pStyle w:val="BodyText"/>
      </w:pPr>
      <w:r>
        <w:rPr>
          <w:b/>
          <w:bCs/>
        </w:rPr>
        <w:t xml:space="preserve">Hupyy Opportunity</w:t>
      </w:r>
      <w:r>
        <w:t xml:space="preserve">: Category-defining</w:t>
      </w:r>
      <w:r>
        <w:t xml:space="preserve"> </w:t>
      </w:r>
      <w:r>
        <w:t xml:space="preserve">“AI-verified analysis”</w:t>
      </w:r>
      <w:r>
        <w:t xml:space="preserve">—mathematical guarantees on AI-generated insights address regulatory explainability requirements.</w:t>
      </w:r>
    </w:p>
    <w:bookmarkEnd w:id="25"/>
    <w:bookmarkStart w:id="26" w:name="X459a08a5ea049508325eb402f9d89eb9f31c629"/>
    <w:p>
      <w:pPr>
        <w:pStyle w:val="Heading4"/>
      </w:pPr>
      <w:r>
        <w:rPr>
          <w:rStyle w:val="SectionNumber"/>
        </w:rPr>
        <w:t xml:space="preserve">1.4.2.3</w:t>
      </w:r>
      <w:r>
        <w:tab/>
      </w:r>
      <w:r>
        <w:t xml:space="preserve">Trend 3: SaaS/Subscription Transition (61% of vendors expect revenue growth by 2026)</w:t>
      </w:r>
    </w:p>
    <w:p>
      <w:pPr>
        <w:pStyle w:val="Compact"/>
        <w:numPr>
          <w:ilvl w:val="0"/>
          <w:numId w:val="1007"/>
        </w:numPr>
      </w:pPr>
      <w:r>
        <w:t xml:space="preserve">Customer preference: Lower upfront costs, continuous updates, scalability</w:t>
      </w:r>
    </w:p>
    <w:p>
      <w:pPr>
        <w:pStyle w:val="Compact"/>
        <w:numPr>
          <w:ilvl w:val="0"/>
          <w:numId w:val="1007"/>
        </w:numPr>
      </w:pPr>
      <w:r>
        <w:t xml:space="preserve">Vendor preference: Predictable recurring revenue (2-4x LTV vs. perpetual), continuous engagement</w:t>
      </w:r>
    </w:p>
    <w:p>
      <w:pPr>
        <w:pStyle w:val="Compact"/>
        <w:numPr>
          <w:ilvl w:val="0"/>
          <w:numId w:val="1007"/>
        </w:numPr>
      </w:pPr>
      <w:r>
        <w:t xml:space="preserve">LabVIEW and MATLAB transitioning to subscription-first models</w:t>
      </w:r>
    </w:p>
    <w:p>
      <w:pPr>
        <w:pStyle w:val="FirstParagraph"/>
      </w:pPr>
      <w:r>
        <w:rPr>
          <w:b/>
          <w:bCs/>
        </w:rPr>
        <w:t xml:space="preserve">Hupyy Opportunity</w:t>
      </w:r>
      <w:r>
        <w:t xml:space="preserve">: Launch as cloud-native SaaS with no legacy perpetual license baggage; modern business model attracts investment and scales efficiently.</w:t>
      </w:r>
    </w:p>
    <w:bookmarkEnd w:id="26"/>
    <w:bookmarkStart w:id="27" w:name="X4149b31c085b8221edcec061f89193d2e21f368"/>
    <w:p>
      <w:pPr>
        <w:pStyle w:val="Heading4"/>
      </w:pPr>
      <w:r>
        <w:rPr>
          <w:rStyle w:val="SectionNumber"/>
        </w:rPr>
        <w:t xml:space="preserve">1.4.2.4</w:t>
      </w:r>
      <w:r>
        <w:tab/>
      </w:r>
      <w:r>
        <w:t xml:space="preserve">Trend 4: Regulatory Compliance Intensification</w:t>
      </w:r>
    </w:p>
    <w:p>
      <w:pPr>
        <w:pStyle w:val="Compact"/>
        <w:numPr>
          <w:ilvl w:val="0"/>
          <w:numId w:val="1008"/>
        </w:numPr>
      </w:pPr>
      <w:r>
        <w:rPr>
          <w:b/>
          <w:bCs/>
        </w:rPr>
        <w:t xml:space="preserve">FDA enforcement</w:t>
      </w:r>
      <w:r>
        <w:t xml:space="preserve">: 56 data integrity warning letters (2023); 21 CFR Part 11 validation costs $500K-2M per system</w:t>
      </w:r>
    </w:p>
    <w:p>
      <w:pPr>
        <w:pStyle w:val="Compact"/>
        <w:numPr>
          <w:ilvl w:val="0"/>
          <w:numId w:val="1008"/>
        </w:numPr>
      </w:pPr>
      <w:r>
        <w:rPr>
          <w:b/>
          <w:bCs/>
        </w:rPr>
        <w:t xml:space="preserve">DO-178C expansion</w:t>
      </w:r>
      <w:r>
        <w:t xml:space="preserve">: Beyond traditional avionics to UAVs, drones, urban air mobility</w:t>
      </w:r>
    </w:p>
    <w:p>
      <w:pPr>
        <w:pStyle w:val="Compact"/>
        <w:numPr>
          <w:ilvl w:val="0"/>
          <w:numId w:val="1008"/>
        </w:numPr>
      </w:pPr>
      <w:r>
        <w:rPr>
          <w:b/>
          <w:bCs/>
        </w:rPr>
        <w:t xml:space="preserve">Semiconductor quality</w:t>
      </w:r>
      <w:r>
        <w:t xml:space="preserve">: Industry 4.0 zero-defect manufacturing; ISO 9001/IATF 16949 requirements</w:t>
      </w:r>
    </w:p>
    <w:p>
      <w:pPr>
        <w:pStyle w:val="Compact"/>
        <w:numPr>
          <w:ilvl w:val="0"/>
          <w:numId w:val="1008"/>
        </w:numPr>
      </w:pPr>
      <w:r>
        <w:rPr>
          <w:b/>
          <w:bCs/>
        </w:rPr>
        <w:t xml:space="preserve">ISO 17025 accreditation</w:t>
      </w:r>
      <w:r>
        <w:t xml:space="preserve">: 60,000 laboratories globally; 3-6 months, $100K-500K certification cost</w:t>
      </w:r>
    </w:p>
    <w:p>
      <w:pPr>
        <w:pStyle w:val="FirstParagraph"/>
      </w:pPr>
      <w:r>
        <w:rPr>
          <w:b/>
          <w:bCs/>
        </w:rPr>
        <w:t xml:space="preserve">Hupyy Opportunity</w:t>
      </w:r>
      <w:r>
        <w:t xml:space="preserve">: Compliance automation saves $250K-2.5M per project (50% time reduction); mathematical guarantees provide superior regulatory evidence versus testing alone.</w:t>
      </w:r>
    </w:p>
    <w:bookmarkEnd w:id="27"/>
    <w:bookmarkStart w:id="28" w:name="X238dbee5fe33da1cedb8f6e06753c72b50d4637"/>
    <w:p>
      <w:pPr>
        <w:pStyle w:val="Heading4"/>
      </w:pPr>
      <w:r>
        <w:rPr>
          <w:rStyle w:val="SectionNumber"/>
        </w:rPr>
        <w:t xml:space="preserve">1.4.2.5</w:t>
      </w:r>
      <w:r>
        <w:tab/>
      </w:r>
      <w:r>
        <w:t xml:space="preserve">Trend 5: Cloud Migration and Remote Laboratories</w:t>
      </w:r>
    </w:p>
    <w:p>
      <w:pPr>
        <w:pStyle w:val="Compact"/>
        <w:numPr>
          <w:ilvl w:val="0"/>
          <w:numId w:val="1009"/>
        </w:numPr>
      </w:pPr>
      <w:r>
        <w:t xml:space="preserve">Permanent shift from COVID-19: Remote instrument monitoring, cloud data lakes, virtual collaboration</w:t>
      </w:r>
    </w:p>
    <w:p>
      <w:pPr>
        <w:pStyle w:val="Compact"/>
        <w:numPr>
          <w:ilvl w:val="0"/>
          <w:numId w:val="1009"/>
        </w:numPr>
      </w:pPr>
      <w:r>
        <w:t xml:space="preserve">Cloud-native platforms: Benchling ($6.1B valuation), TetraScience ($125M Series D), Domino Data Lab ($1B+ valuation)</w:t>
      </w:r>
    </w:p>
    <w:p>
      <w:pPr>
        <w:pStyle w:val="Compact"/>
        <w:numPr>
          <w:ilvl w:val="0"/>
          <w:numId w:val="1009"/>
        </w:numPr>
      </w:pPr>
      <w:r>
        <w:t xml:space="preserve">Incumbent weakness: MATLAB and LabVIEW desktop-centric; cloud offerings lag</w:t>
      </w:r>
    </w:p>
    <w:p>
      <w:pPr>
        <w:pStyle w:val="FirstParagraph"/>
      </w:pPr>
      <w:r>
        <w:rPr>
          <w:b/>
          <w:bCs/>
        </w:rPr>
        <w:t xml:space="preserve">Hupyy Opportunity</w:t>
      </w:r>
      <w:r>
        <w:t xml:space="preserve">: Cloud-native architecture from day one; API integrations with cloud data lakes, LIMS, ERP systems; modern collaboration versus legacy desktop tools.</w:t>
      </w:r>
    </w:p>
    <w:bookmarkEnd w:id="28"/>
    <w:bookmarkEnd w:id="29"/>
    <w:bookmarkStart w:id="30" w:name="Xd8bcf0e51354a2a8384e64d95f8f3feb425c60a"/>
    <w:p>
      <w:pPr>
        <w:pStyle w:val="Heading3"/>
      </w:pPr>
      <w:r>
        <w:rPr>
          <w:rStyle w:val="SectionNumber"/>
        </w:rPr>
        <w:t xml:space="preserve">1.4.3</w:t>
      </w:r>
      <w:r>
        <w:tab/>
      </w:r>
      <w:r>
        <w:t xml:space="preserve">Trend Convergence: Category-Creating Opportunity</w:t>
      </w:r>
    </w:p>
    <w:p>
      <w:pPr>
        <w:pStyle w:val="FirstParagraph"/>
      </w:pPr>
      <w:r>
        <w:t xml:space="preserve">These five trends reinforce each other exponentially:</w:t>
      </w:r>
      <w:r>
        <w:t xml:space="preserve"> </w:t>
      </w:r>
      <w:r>
        <w:t xml:space="preserve">- Lab Automation + AI → massive datasets requiring trust</w:t>
      </w:r>
      <w:r>
        <w:t xml:space="preserve"> </w:t>
      </w:r>
      <w:r>
        <w:t xml:space="preserve">- AI + Regulatory → explainability requirement creates formal verification need</w:t>
      </w:r>
      <w:r>
        <w:t xml:space="preserve"> </w:t>
      </w:r>
      <w:r>
        <w:t xml:space="preserve">- SaaS + Cloud → new business models enable faster iteration and distribution</w:t>
      </w:r>
      <w:r>
        <w:t xml:space="preserve"> </w:t>
      </w:r>
      <w:r>
        <w:t xml:space="preserve">- Cloud + Collaboration → remote labs expand addressable market</w:t>
      </w:r>
      <w:r>
        <w:t xml:space="preserve"> </w:t>
      </w:r>
      <w:r>
        <w:t xml:space="preserve">- Compliance + SaaS → continuous regulatory updates versus frozen validated systems</w:t>
      </w:r>
    </w:p>
    <w:p>
      <w:pPr>
        <w:pStyle w:val="BodyText"/>
      </w:pPr>
      <w:r>
        <w:rPr>
          <w:b/>
          <w:bCs/>
        </w:rPr>
        <w:t xml:space="preserve">Market Timing</w:t>
      </w:r>
      <w:r>
        <w:t xml:space="preserve">: 2025-2027 represents optimal window:</w:t>
      </w:r>
      <w:r>
        <w:t xml:space="preserve"> </w:t>
      </w:r>
      <w:r>
        <w:t xml:space="preserve">- Early enough for category leadership before incumbent response (2-3 year head start)</w:t>
      </w:r>
      <w:r>
        <w:t xml:space="preserve"> </w:t>
      </w:r>
      <w:r>
        <w:t xml:space="preserve">- Late enough for customer awareness and demand (pull from pain + push from regulators)</w:t>
      </w:r>
      <w:r>
        <w:t xml:space="preserve"> </w:t>
      </w:r>
      <w:r>
        <w:t xml:space="preserve">- Technology mature enough for production deployment (formal verification tools, cloud infrastructure, AI frameworks)</w:t>
      </w:r>
    </w:p>
    <w:p>
      <w:pPr>
        <w:pStyle w:val="BodyText"/>
      </w:pPr>
      <w:r>
        <w:rPr>
          <w:b/>
          <w:bCs/>
        </w:rPr>
        <w:t xml:space="preserve">Category Growth Projection</w:t>
      </w:r>
      <w:r>
        <w:t xml:space="preserve">: Verified analysis subcategory growing at</w:t>
      </w:r>
      <w:r>
        <w:t xml:space="preserve"> </w:t>
      </w:r>
      <w:r>
        <w:rPr>
          <w:b/>
          <w:bCs/>
        </w:rPr>
        <w:t xml:space="preserve">15-20% CAGR</w:t>
      </w:r>
      <w:r>
        <w:t xml:space="preserve"> </w:t>
      </w:r>
      <w:r>
        <w:t xml:space="preserve">(versus 7-8% broader scientific software market):</w:t>
      </w:r>
      <w:r>
        <w:t xml:space="preserve"> </w:t>
      </w:r>
      <w:r>
        <w:t xml:space="preserve">- 2024: $50M (nascent; mostly manual validation services)</w:t>
      </w:r>
      <w:r>
        <w:t xml:space="preserve"> </w:t>
      </w:r>
      <w:r>
        <w:t xml:space="preserve">- 2027: $115M (early adopters; Hupyy + early competitors)</w:t>
      </w:r>
      <w:r>
        <w:t xml:space="preserve"> </w:t>
      </w:r>
      <w:r>
        <w:t xml:space="preserve">- 2030: $300M (mainstream pharmaceutical, semiconductor, aerospace adoption)</w:t>
      </w:r>
      <w:r>
        <w:t xml:space="preserve"> </w:t>
      </w:r>
      <w:r>
        <w:t xml:space="preserve">- 2033: $600M (expansion to adjacent verticals, international markets)</w:t>
      </w:r>
    </w:p>
    <w:p>
      <w:r>
        <w:pict>
          <v:rect style="width:0;height:1.5pt" o:hralign="center" o:hrstd="t" o:hr="t"/>
        </w:pict>
      </w:r>
    </w:p>
    <w:bookmarkEnd w:id="30"/>
    <w:bookmarkEnd w:id="31"/>
    <w:bookmarkStart w:id="44" w:name="competitive-landscape"/>
    <w:p>
      <w:pPr>
        <w:pStyle w:val="Heading2"/>
      </w:pPr>
      <w:r>
        <w:rPr>
          <w:rStyle w:val="SectionNumber"/>
        </w:rPr>
        <w:t xml:space="preserve">1.5</w:t>
      </w:r>
      <w:r>
        <w:tab/>
      </w:r>
      <w:r>
        <w:t xml:space="preserve">Competitive Landscape</w:t>
      </w:r>
    </w:p>
    <w:bookmarkStart w:id="37" w:name="primary-competitors-analysis"/>
    <w:p>
      <w:pPr>
        <w:pStyle w:val="Heading3"/>
      </w:pPr>
      <w:r>
        <w:rPr>
          <w:rStyle w:val="SectionNumber"/>
        </w:rPr>
        <w:t xml:space="preserve">1.5.1</w:t>
      </w:r>
      <w:r>
        <w:tab/>
      </w:r>
      <w:r>
        <w:t xml:space="preserve">Primary Competitors Analysis</w:t>
      </w:r>
    </w:p>
    <w:bookmarkStart w:id="32" w:name="X6e9d185a67249d30d8ea97a25b81abdafb0daaf"/>
    <w:p>
      <w:pPr>
        <w:pStyle w:val="Heading4"/>
      </w:pPr>
      <w:r>
        <w:rPr>
          <w:rStyle w:val="SectionNumber"/>
        </w:rPr>
        <w:t xml:space="preserve">1.5.1.1</w:t>
      </w:r>
      <w:r>
        <w:tab/>
      </w:r>
      <w:r>
        <w:t xml:space="preserve">National Instruments LabVIEW (25-30% market share)</w:t>
      </w:r>
    </w:p>
    <w:p>
      <w:pPr>
        <w:pStyle w:val="FirstParagraph"/>
      </w:pPr>
      <w:r>
        <w:rPr>
          <w:b/>
          <w:bCs/>
        </w:rPr>
        <w:t xml:space="preserve">Strengths</w:t>
      </w:r>
      <w:r>
        <w:t xml:space="preserve">:</w:t>
      </w:r>
      <w:r>
        <w:t xml:space="preserve"> </w:t>
      </w:r>
      <w:r>
        <w:t xml:space="preserve">- Deep hardware integration (1,000+ instruments)</w:t>
      </w:r>
      <w:r>
        <w:t xml:space="preserve"> </w:t>
      </w:r>
      <w:r>
        <w:t xml:space="preserve">- Visual programming accessible to non-programmers</w:t>
      </w:r>
      <w:r>
        <w:t xml:space="preserve"> </w:t>
      </w:r>
      <w:r>
        <w:t xml:space="preserve">- Real-time capabilities and extensive ecosystem</w:t>
      </w:r>
      <w:r>
        <w:t xml:space="preserve"> </w:t>
      </w:r>
      <w:r>
        <w:t xml:space="preserve">- Aerospace/automotive entrenchment (&gt;1M users globally)</w:t>
      </w:r>
    </w:p>
    <w:p>
      <w:pPr>
        <w:pStyle w:val="BodyText"/>
      </w:pPr>
      <w:r>
        <w:rPr>
          <w:b/>
          <w:bCs/>
        </w:rPr>
        <w:t xml:space="preserve">Weaknesses</w:t>
      </w:r>
      <w:r>
        <w:t xml:space="preserve">:</w:t>
      </w:r>
      <w:r>
        <w:t xml:space="preserve"> </w:t>
      </w:r>
      <w:r>
        <w:t xml:space="preserve">-</w:t>
      </w:r>
      <w:r>
        <w:t xml:space="preserve"> </w:t>
      </w:r>
      <w:r>
        <w:rPr>
          <w:b/>
          <w:bCs/>
        </w:rPr>
        <w:t xml:space="preserve">No formal verification</w:t>
      </w:r>
      <w:r>
        <w:t xml:space="preserve"> </w:t>
      </w:r>
      <w:r>
        <w:t xml:space="preserve">capability</w:t>
      </w:r>
      <w:r>
        <w:t xml:space="preserve"> </w:t>
      </w:r>
      <w:r>
        <w:t xml:space="preserve">- Proprietary lock-in (difficult to version control/migrate)</w:t>
      </w:r>
      <w:r>
        <w:t xml:space="preserve"> </w:t>
      </w:r>
      <w:r>
        <w:t xml:space="preserve">- Limited AI/ML capabilities</w:t>
      </w:r>
      <w:r>
        <w:t xml:space="preserve"> </w:t>
      </w:r>
      <w:r>
        <w:t xml:space="preserve">- Scalability constraints for large datasets</w:t>
      </w:r>
      <w:r>
        <w:t xml:space="preserve"> </w:t>
      </w:r>
      <w:r>
        <w:t xml:space="preserve">-</w:t>
      </w:r>
      <w:r>
        <w:t xml:space="preserve"> </w:t>
      </w:r>
      <w:r>
        <w:rPr>
          <w:b/>
          <w:bCs/>
        </w:rPr>
        <w:t xml:space="preserve">Manual regulatory compliance</w:t>
      </w:r>
      <w:r>
        <w:t xml:space="preserve"> </w:t>
      </w:r>
      <w:r>
        <w:t xml:space="preserve">(FDA, DO-178C requires extensive documentation)</w:t>
      </w:r>
    </w:p>
    <w:p>
      <w:pPr>
        <w:pStyle w:val="BodyText"/>
      </w:pPr>
      <w:r>
        <w:rPr>
          <w:b/>
          <w:bCs/>
        </w:rPr>
        <w:t xml:space="preserve">Pricing</w:t>
      </w:r>
      <w:r>
        <w:t xml:space="preserve">: $407-$5,344/year subscription; $1,500-$5,300+ perpetual license</w:t>
      </w:r>
    </w:p>
    <w:p>
      <w:pPr>
        <w:pStyle w:val="BodyText"/>
      </w:pPr>
      <w:r>
        <w:rPr>
          <w:b/>
          <w:bCs/>
        </w:rPr>
        <w:t xml:space="preserve">Competitive Response Timeline</w:t>
      </w:r>
      <w:r>
        <w:t xml:space="preserve">: 2-3 years to develop competitive formal verification offering due to:</w:t>
      </w:r>
      <w:r>
        <w:t xml:space="preserve"> </w:t>
      </w:r>
      <w:r>
        <w:t xml:space="preserve">- Architectural constraints (desktop-centric; requires cloud rebuild)</w:t>
      </w:r>
      <w:r>
        <w:t xml:space="preserve"> </w:t>
      </w:r>
      <w:r>
        <w:t xml:space="preserve">- Lack of formal verification expertise (specialized talent acquisition needed)</w:t>
      </w:r>
      <w:r>
        <w:t xml:space="preserve"> </w:t>
      </w:r>
      <w:r>
        <w:t xml:space="preserve">- Organizational inertia (protect existing revenue streams)</w:t>
      </w:r>
    </w:p>
    <w:bookmarkEnd w:id="32"/>
    <w:bookmarkStart w:id="33" w:name="X67b9b15b65af09999271f49abfd0a3011845aa5"/>
    <w:p>
      <w:pPr>
        <w:pStyle w:val="Heading4"/>
      </w:pPr>
      <w:r>
        <w:rPr>
          <w:rStyle w:val="SectionNumber"/>
        </w:rPr>
        <w:t xml:space="preserve">1.5.1.2</w:t>
      </w:r>
      <w:r>
        <w:tab/>
      </w:r>
      <w:r>
        <w:t xml:space="preserve">MathWorks MATLAB (20-25% commercial, 50-60% academic market share)</w:t>
      </w:r>
    </w:p>
    <w:p>
      <w:pPr>
        <w:pStyle w:val="FirstParagraph"/>
      </w:pPr>
      <w:r>
        <w:rPr>
          <w:b/>
          <w:bCs/>
        </w:rPr>
        <w:t xml:space="preserve">Strengths</w:t>
      </w:r>
      <w:r>
        <w:t xml:space="preserve">:</w:t>
      </w:r>
      <w:r>
        <w:t xml:space="preserve"> </w:t>
      </w:r>
      <w:r>
        <w:t xml:space="preserve">- Mathematical depth with industry-leading algorithms</w:t>
      </w:r>
      <w:r>
        <w:t xml:space="preserve"> </w:t>
      </w:r>
      <w:r>
        <w:t xml:space="preserve">- Extensive toolbox ecosystem (100+ specialized toolboxes)</w:t>
      </w:r>
      <w:r>
        <w:t xml:space="preserve"> </w:t>
      </w:r>
      <w:r>
        <w:t xml:space="preserve">- Academic adoption creates talent pipeline (&gt;4M users worldwide)</w:t>
      </w:r>
      <w:r>
        <w:t xml:space="preserve"> </w:t>
      </w:r>
      <w:r>
        <w:t xml:space="preserve">- Model-based design (Simulink) for system-level verification</w:t>
      </w:r>
    </w:p>
    <w:p>
      <w:pPr>
        <w:pStyle w:val="BodyText"/>
      </w:pPr>
      <w:r>
        <w:rPr>
          <w:b/>
          <w:bCs/>
        </w:rPr>
        <w:t xml:space="preserve">Weaknesses</w:t>
      </w:r>
      <w:r>
        <w:t xml:space="preserve">:</w:t>
      </w:r>
      <w:r>
        <w:t xml:space="preserve"> </w:t>
      </w:r>
      <w:r>
        <w:t xml:space="preserve">- Proprietary language creates vendor lock-in</w:t>
      </w:r>
      <w:r>
        <w:t xml:space="preserve"> </w:t>
      </w:r>
      <w:r>
        <w:t xml:space="preserve">-</w:t>
      </w:r>
      <w:r>
        <w:t xml:space="preserve"> </w:t>
      </w:r>
      <w:r>
        <w:rPr>
          <w:b/>
          <w:bCs/>
        </w:rPr>
        <w:t xml:space="preserve">High cost</w:t>
      </w:r>
      <w:r>
        <w:t xml:space="preserve"> </w:t>
      </w:r>
      <w:r>
        <w:t xml:space="preserve">($940-$15,000+/year depending on toolboxes)</w:t>
      </w:r>
      <w:r>
        <w:t xml:space="preserve"> </w:t>
      </w:r>
      <w:r>
        <w:t xml:space="preserve">- Performance limitations versus compiled languages</w:t>
      </w:r>
      <w:r>
        <w:t xml:space="preserve"> </w:t>
      </w:r>
      <w:r>
        <w:t xml:space="preserve">-</w:t>
      </w:r>
      <w:r>
        <w:t xml:space="preserve"> </w:t>
      </w:r>
      <w:r>
        <w:rPr>
          <w:b/>
          <w:bCs/>
        </w:rPr>
        <w:t xml:space="preserve">Limited formal verification</w:t>
      </w:r>
      <w:r>
        <w:t xml:space="preserve"> </w:t>
      </w:r>
      <w:r>
        <w:t xml:space="preserve">(Simulink Design Verifier partial, not comprehensive)</w:t>
      </w:r>
      <w:r>
        <w:t xml:space="preserve"> </w:t>
      </w:r>
      <w:r>
        <w:t xml:space="preserve">-</w:t>
      </w:r>
      <w:r>
        <w:t xml:space="preserve"> </w:t>
      </w:r>
      <w:r>
        <w:rPr>
          <w:b/>
          <w:bCs/>
        </w:rPr>
        <w:t xml:space="preserve">AI explainability gap</w:t>
      </w:r>
      <w:r>
        <w:t xml:space="preserve"> </w:t>
      </w:r>
      <w:r>
        <w:t xml:space="preserve">- Cloud adoption lag</w:t>
      </w:r>
    </w:p>
    <w:p>
      <w:pPr>
        <w:pStyle w:val="BodyText"/>
      </w:pPr>
      <w:r>
        <w:rPr>
          <w:b/>
          <w:bCs/>
        </w:rPr>
        <w:t xml:space="preserve">Pricing</w:t>
      </w:r>
      <w:r>
        <w:t xml:space="preserve">: $940-$15,000+/year; academic discounts available</w:t>
      </w:r>
    </w:p>
    <w:p>
      <w:pPr>
        <w:pStyle w:val="BodyText"/>
      </w:pPr>
      <w:r>
        <w:rPr>
          <w:b/>
          <w:bCs/>
        </w:rPr>
        <w:t xml:space="preserve">Competitive Gap</w:t>
      </w:r>
      <w:r>
        <w:t xml:space="preserve">: Simulink Design Verifier provides some formal methods but focused on model-based design, not scientific data analysis algorithms. No AI verification capabilities.</w:t>
      </w:r>
    </w:p>
    <w:bookmarkEnd w:id="33"/>
    <w:bookmarkStart w:id="34" w:name="X24c0e4d3f9d94835a43d8bf8cf9d5b38f660e86"/>
    <w:p>
      <w:pPr>
        <w:pStyle w:val="Heading4"/>
      </w:pPr>
      <w:r>
        <w:rPr>
          <w:rStyle w:val="SectionNumber"/>
        </w:rPr>
        <w:t xml:space="preserve">1.5.1.3</w:t>
      </w:r>
      <w:r>
        <w:tab/>
      </w:r>
      <w:r>
        <w:t xml:space="preserve">Python Scientific Stack (60-70% academic, 40-50% commercial data science)</w:t>
      </w:r>
    </w:p>
    <w:p>
      <w:pPr>
        <w:pStyle w:val="FirstParagraph"/>
      </w:pPr>
      <w:r>
        <w:rPr>
          <w:b/>
          <w:bCs/>
        </w:rPr>
        <w:t xml:space="preserve">Strengths</w:t>
      </w:r>
      <w:r>
        <w:t xml:space="preserve">:</w:t>
      </w:r>
      <w:r>
        <w:t xml:space="preserve"> </w:t>
      </w:r>
      <w:r>
        <w:t xml:space="preserve">-</w:t>
      </w:r>
      <w:r>
        <w:t xml:space="preserve"> </w:t>
      </w:r>
      <w:r>
        <w:rPr>
          <w:b/>
          <w:bCs/>
        </w:rPr>
        <w:t xml:space="preserve">Zero cost</w:t>
      </w:r>
      <w:r>
        <w:t xml:space="preserve"> </w:t>
      </w:r>
      <w:r>
        <w:t xml:space="preserve">(free/open-source MIT/BSD licenses)</w:t>
      </w:r>
      <w:r>
        <w:t xml:space="preserve"> </w:t>
      </w:r>
      <w:r>
        <w:t xml:space="preserve">- Massive ecosystem (400K+ packages)</w:t>
      </w:r>
      <w:r>
        <w:t xml:space="preserve"> </w:t>
      </w:r>
      <w:r>
        <w:t xml:space="preserve">- AI/ML leadership (PyTorch, TensorFlow, scikit-learn)</w:t>
      </w:r>
      <w:r>
        <w:t xml:space="preserve"> </w:t>
      </w:r>
      <w:r>
        <w:t xml:space="preserve">- Interoperability and reproducibility (Jupyter Notebooks)</w:t>
      </w:r>
      <w:r>
        <w:t xml:space="preserve"> </w:t>
      </w:r>
      <w:r>
        <w:t xml:space="preserve">- Cloud-native support</w:t>
      </w:r>
    </w:p>
    <w:p>
      <w:pPr>
        <w:pStyle w:val="BodyText"/>
      </w:pPr>
      <w:r>
        <w:rPr>
          <w:b/>
          <w:bCs/>
        </w:rPr>
        <w:t xml:space="preserve">Weaknesses</w:t>
      </w:r>
      <w:r>
        <w:t xml:space="preserve">:</w:t>
      </w:r>
      <w:r>
        <w:t xml:space="preserve"> </w:t>
      </w:r>
      <w:r>
        <w:t xml:space="preserve">-</w:t>
      </w:r>
      <w:r>
        <w:t xml:space="preserve"> </w:t>
      </w:r>
      <w:r>
        <w:rPr>
          <w:b/>
          <w:bCs/>
        </w:rPr>
        <w:t xml:space="preserve">No formal verification</w:t>
      </w:r>
      <w:r>
        <w:t xml:space="preserve"> </w:t>
      </w:r>
      <w:r>
        <w:t xml:space="preserve">- Quality variability across packages</w:t>
      </w:r>
      <w:r>
        <w:t xml:space="preserve"> </w:t>
      </w:r>
      <w:r>
        <w:t xml:space="preserve">-</w:t>
      </w:r>
      <w:r>
        <w:t xml:space="preserve"> </w:t>
      </w:r>
      <w:r>
        <w:rPr>
          <w:b/>
          <w:bCs/>
        </w:rPr>
        <w:t xml:space="preserve">No commercial SLA</w:t>
      </w:r>
      <w:r>
        <w:t xml:space="preserve"> </w:t>
      </w:r>
      <w:r>
        <w:t xml:space="preserve">or guaranteed support</w:t>
      </w:r>
      <w:r>
        <w:t xml:space="preserve"> </w:t>
      </w:r>
      <w:r>
        <w:t xml:space="preserve">-</w:t>
      </w:r>
      <w:r>
        <w:t xml:space="preserve"> </w:t>
      </w:r>
      <w:r>
        <w:rPr>
          <w:b/>
          <w:bCs/>
        </w:rPr>
        <w:t xml:space="preserve">Regulatory compliance gap</w:t>
      </w:r>
      <w:r>
        <w:t xml:space="preserve">: Difficult for FDA/DO-178C without extensive manual validation</w:t>
      </w:r>
      <w:r>
        <w:t xml:space="preserve"> </w:t>
      </w:r>
      <w:r>
        <w:t xml:space="preserve">- Steep learning curve for non-programmers</w:t>
      </w:r>
      <w:r>
        <w:t xml:space="preserve"> </w:t>
      </w:r>
      <w:r>
        <w:t xml:space="preserve">- Performance inconsistency</w:t>
      </w:r>
    </w:p>
    <w:p>
      <w:pPr>
        <w:pStyle w:val="BodyText"/>
      </w:pPr>
      <w:r>
        <w:rPr>
          <w:b/>
          <w:bCs/>
        </w:rPr>
        <w:t xml:space="preserve">Pricing</w:t>
      </w:r>
      <w:r>
        <w:t xml:space="preserve">: Free; optional commercial support (Anaconda $5K-20K/year for enterprise)</w:t>
      </w:r>
    </w:p>
    <w:p>
      <w:pPr>
        <w:pStyle w:val="BodyText"/>
      </w:pPr>
      <w:r>
        <w:rPr>
          <w:b/>
          <w:bCs/>
        </w:rPr>
        <w:t xml:space="preserve">Competitive Position</w:t>
      </w:r>
      <w:r>
        <w:t xml:space="preserve">: Python is collaborator not competitor—Hupyy builds on Python scientific stack (NumPy, SciPy) adding formal verification and compliance automation. Position as</w:t>
      </w:r>
      <w:r>
        <w:t xml:space="preserve"> </w:t>
      </w:r>
      <w:r>
        <w:t xml:space="preserve">“Enterprise Python with Guarantees.”</w:t>
      </w:r>
    </w:p>
    <w:bookmarkEnd w:id="34"/>
    <w:bookmarkStart w:id="35" w:name="X405dd26d135a18d3668d34f73215eee4de1801e"/>
    <w:p>
      <w:pPr>
        <w:pStyle w:val="Heading4"/>
      </w:pPr>
      <w:r>
        <w:rPr>
          <w:rStyle w:val="SectionNumber"/>
        </w:rPr>
        <w:t xml:space="preserve">1.5.1.4</w:t>
      </w:r>
      <w:r>
        <w:tab/>
      </w:r>
      <w:r>
        <w:t xml:space="preserve">OriginLab Origin/OriginPro (5-10% market share, niche verticals)</w:t>
      </w:r>
    </w:p>
    <w:p>
      <w:pPr>
        <w:pStyle w:val="FirstParagraph"/>
      </w:pPr>
      <w:r>
        <w:rPr>
          <w:b/>
          <w:bCs/>
        </w:rPr>
        <w:t xml:space="preserve">Strengths</w:t>
      </w:r>
      <w:r>
        <w:t xml:space="preserve">:</w:t>
      </w:r>
      <w:r>
        <w:t xml:space="preserve"> </w:t>
      </w:r>
      <w:r>
        <w:t xml:space="preserve">- Publication-quality graphics (industry-leading)</w:t>
      </w:r>
      <w:r>
        <w:t xml:space="preserve"> </w:t>
      </w:r>
      <w:r>
        <w:t xml:space="preserve">- Ease of use (GUI-driven)</w:t>
      </w:r>
      <w:r>
        <w:t xml:space="preserve"> </w:t>
      </w:r>
      <w:r>
        <w:t xml:space="preserve">- Scientific instrument integration</w:t>
      </w:r>
      <w:r>
        <w:t xml:space="preserve"> </w:t>
      </w:r>
      <w:r>
        <w:t xml:space="preserve">- Specialized for analytical chemistry/spectroscopy (&gt;1M registered users)</w:t>
      </w:r>
    </w:p>
    <w:p>
      <w:pPr>
        <w:pStyle w:val="BodyText"/>
      </w:pPr>
      <w:r>
        <w:rPr>
          <w:b/>
          <w:bCs/>
        </w:rPr>
        <w:t xml:space="preserve">Weaknesses</w:t>
      </w:r>
      <w:r>
        <w:t xml:space="preserve">:</w:t>
      </w:r>
      <w:r>
        <w:t xml:space="preserve"> </w:t>
      </w:r>
      <w:r>
        <w:t xml:space="preserve">- Windows-only platform</w:t>
      </w:r>
      <w:r>
        <w:t xml:space="preserve"> </w:t>
      </w:r>
      <w:r>
        <w:t xml:space="preserve">- Limited programming capabilities</w:t>
      </w:r>
      <w:r>
        <w:t xml:space="preserve"> </w:t>
      </w:r>
      <w:r>
        <w:t xml:space="preserve">-</w:t>
      </w:r>
      <w:r>
        <w:t xml:space="preserve"> </w:t>
      </w:r>
      <w:r>
        <w:rPr>
          <w:b/>
          <w:bCs/>
        </w:rPr>
        <w:t xml:space="preserve">No formal verification</w:t>
      </w:r>
      <w:r>
        <w:t xml:space="preserve"> </w:t>
      </w:r>
      <w:r>
        <w:t xml:space="preserve">- Small ecosystem versus MATLAB/Python</w:t>
      </w:r>
      <w:r>
        <w:t xml:space="preserve"> </w:t>
      </w:r>
      <w:r>
        <w:t xml:space="preserve">-</w:t>
      </w:r>
      <w:r>
        <w:t xml:space="preserve"> </w:t>
      </w:r>
      <w:r>
        <w:rPr>
          <w:b/>
          <w:bCs/>
        </w:rPr>
        <w:t xml:space="preserve">Manual regulatory compliance</w:t>
      </w:r>
      <w:r>
        <w:t xml:space="preserve"> </w:t>
      </w:r>
      <w:r>
        <w:t xml:space="preserve">- Scalability issues for large datasets</w:t>
      </w:r>
      <w:r>
        <w:t xml:space="preserve"> </w:t>
      </w:r>
      <w:r>
        <w:t xml:space="preserve">- Minimal AI/ML capabilities</w:t>
      </w:r>
    </w:p>
    <w:p>
      <w:pPr>
        <w:pStyle w:val="BodyText"/>
      </w:pPr>
      <w:r>
        <w:rPr>
          <w:b/>
          <w:bCs/>
        </w:rPr>
        <w:t xml:space="preserve">Pricing</w:t>
      </w:r>
      <w:r>
        <w:t xml:space="preserve">: $500-$1,800/year; academic discounts</w:t>
      </w:r>
    </w:p>
    <w:p>
      <w:pPr>
        <w:pStyle w:val="BodyText"/>
      </w:pPr>
      <w:r>
        <w:rPr>
          <w:b/>
          <w:bCs/>
        </w:rPr>
        <w:t xml:space="preserve">Competitive Assessment</w:t>
      </w:r>
      <w:r>
        <w:t xml:space="preserve">: Narrow niche focus; not significant competitive threat for regulated markets.</w:t>
      </w:r>
    </w:p>
    <w:bookmarkEnd w:id="35"/>
    <w:bookmarkStart w:id="36" w:name="Xd25a8ae144dd5ee7fe5315028d7e1f39c7a2073"/>
    <w:p>
      <w:pPr>
        <w:pStyle w:val="Heading4"/>
      </w:pPr>
      <w:r>
        <w:rPr>
          <w:rStyle w:val="SectionNumber"/>
        </w:rPr>
        <w:t xml:space="preserve">1.5.1.5</w:t>
      </w:r>
      <w:r>
        <w:tab/>
      </w:r>
      <w:r>
        <w:t xml:space="preserve">Emerging Cloud Platforms (Databricks, SageMaker, Azure ML)</w:t>
      </w:r>
    </w:p>
    <w:p>
      <w:pPr>
        <w:pStyle w:val="FirstParagraph"/>
      </w:pPr>
      <w:r>
        <w:rPr>
          <w:b/>
          <w:bCs/>
        </w:rPr>
        <w:t xml:space="preserve">Strengths</w:t>
      </w:r>
      <w:r>
        <w:t xml:space="preserve">:</w:t>
      </w:r>
      <w:r>
        <w:t xml:space="preserve"> </w:t>
      </w:r>
      <w:r>
        <w:t xml:space="preserve">- Cloud-native scalability</w:t>
      </w:r>
      <w:r>
        <w:t xml:space="preserve"> </w:t>
      </w:r>
      <w:r>
        <w:t xml:space="preserve">- State-of-the-art AI/ML frameworks</w:t>
      </w:r>
      <w:r>
        <w:t xml:space="preserve"> </w:t>
      </w:r>
      <w:r>
        <w:t xml:space="preserve">- Enterprise integration capabilities</w:t>
      </w:r>
      <w:r>
        <w:t xml:space="preserve"> </w:t>
      </w:r>
      <w:r>
        <w:t xml:space="preserve">- Commercial SLAs and support</w:t>
      </w:r>
    </w:p>
    <w:p>
      <w:pPr>
        <w:pStyle w:val="BodyText"/>
      </w:pPr>
      <w:r>
        <w:rPr>
          <w:b/>
          <w:bCs/>
        </w:rPr>
        <w:t xml:space="preserve">Weaknesses</w:t>
      </w:r>
      <w:r>
        <w:t xml:space="preserve">:</w:t>
      </w:r>
      <w:r>
        <w:t xml:space="preserve"> </w:t>
      </w:r>
      <w:r>
        <w:t xml:space="preserve">-</w:t>
      </w:r>
      <w:r>
        <w:t xml:space="preserve"> </w:t>
      </w:r>
      <w:r>
        <w:rPr>
          <w:b/>
          <w:bCs/>
        </w:rPr>
        <w:t xml:space="preserve">Lack instrument-specific integrations</w:t>
      </w:r>
      <w:r>
        <w:t xml:space="preserve"> </w:t>
      </w:r>
      <w:r>
        <w:t xml:space="preserve">(focus on general data science)</w:t>
      </w:r>
      <w:r>
        <w:t xml:space="preserve"> </w:t>
      </w:r>
      <w:r>
        <w:t xml:space="preserve">-</w:t>
      </w:r>
      <w:r>
        <w:t xml:space="preserve"> </w:t>
      </w:r>
      <w:r>
        <w:rPr>
          <w:b/>
          <w:bCs/>
        </w:rPr>
        <w:t xml:space="preserve">No formal verification</w:t>
      </w:r>
      <w:r>
        <w:t xml:space="preserve"> </w:t>
      </w:r>
      <w:r>
        <w:t xml:space="preserve">capabilities</w:t>
      </w:r>
      <w:r>
        <w:t xml:space="preserve"> </w:t>
      </w:r>
      <w:r>
        <w:t xml:space="preserve">- Expensive for small laboratories ($10K-500K+/year)</w:t>
      </w:r>
      <w:r>
        <w:t xml:space="preserve"> </w:t>
      </w:r>
      <w:r>
        <w:t xml:space="preserve">- Require data engineering expertise</w:t>
      </w:r>
      <w:r>
        <w:t xml:space="preserve"> </w:t>
      </w:r>
      <w:r>
        <w:t xml:space="preserve">-</w:t>
      </w:r>
      <w:r>
        <w:t xml:space="preserve"> </w:t>
      </w:r>
      <w:r>
        <w:rPr>
          <w:b/>
          <w:bCs/>
        </w:rPr>
        <w:t xml:space="preserve">Not designed for real-time data acquisition</w:t>
      </w:r>
      <w:r>
        <w:t xml:space="preserve"> </w:t>
      </w:r>
      <w:r>
        <w:t xml:space="preserve">from scientific instruments</w:t>
      </w:r>
    </w:p>
    <w:p>
      <w:pPr>
        <w:pStyle w:val="BodyText"/>
      </w:pPr>
      <w:r>
        <w:rPr>
          <w:b/>
          <w:bCs/>
        </w:rPr>
        <w:t xml:space="preserve">Pricing</w:t>
      </w:r>
      <w:r>
        <w:t xml:space="preserve">: Usage-based; $10K-500K+/year typical enterprise deployment</w:t>
      </w:r>
    </w:p>
    <w:p>
      <w:pPr>
        <w:pStyle w:val="BodyText"/>
      </w:pPr>
      <w:r>
        <w:rPr>
          <w:b/>
          <w:bCs/>
        </w:rPr>
        <w:t xml:space="preserve">Competitive Position</w:t>
      </w:r>
      <w:r>
        <w:t xml:space="preserve">: Horizontal platforms versus vertical specialization. Potential partnership opportunity for cloud augmentation services.</w:t>
      </w:r>
    </w:p>
    <w:bookmarkEnd w:id="36"/>
    <w:bookmarkEnd w:id="37"/>
    <w:bookmarkStart w:id="42" w:name="competitive-gaps-and-opportunities"/>
    <w:p>
      <w:pPr>
        <w:pStyle w:val="Heading3"/>
      </w:pPr>
      <w:r>
        <w:rPr>
          <w:rStyle w:val="SectionNumber"/>
        </w:rPr>
        <w:t xml:space="preserve">1.5.2</w:t>
      </w:r>
      <w:r>
        <w:tab/>
      </w:r>
      <w:r>
        <w:t xml:space="preserve">Competitive Gaps and Opportunities</w:t>
      </w:r>
    </w:p>
    <w:bookmarkStart w:id="38" w:name="gap-1-formal-verification-void"/>
    <w:p>
      <w:pPr>
        <w:pStyle w:val="Heading4"/>
      </w:pPr>
      <w:r>
        <w:rPr>
          <w:rStyle w:val="SectionNumber"/>
        </w:rPr>
        <w:t xml:space="preserve">1.5.2.1</w:t>
      </w:r>
      <w:r>
        <w:tab/>
      </w:r>
      <w:r>
        <w:t xml:space="preserve">Gap 1: Formal Verification Void</w:t>
      </w:r>
    </w:p>
    <w:p>
      <w:pPr>
        <w:pStyle w:val="FirstParagraph"/>
      </w:pPr>
      <w:r>
        <w:rPr>
          <w:b/>
          <w:bCs/>
        </w:rPr>
        <w:t xml:space="preserve">Current State</w:t>
      </w:r>
      <w:r>
        <w:t xml:space="preserve">: All competitors rely on testing/validation (cannot prove correctness, only absence of detected errors)</w:t>
      </w:r>
    </w:p>
    <w:p>
      <w:pPr>
        <w:pStyle w:val="BodyText"/>
      </w:pPr>
      <w:r>
        <w:rPr>
          <w:b/>
          <w:bCs/>
        </w:rPr>
        <w:t xml:space="preserve">Customer Impact</w:t>
      </w:r>
      <w:r>
        <w:t xml:space="preserve">:</w:t>
      </w:r>
      <w:r>
        <w:t xml:space="preserve"> </w:t>
      </w:r>
      <w:r>
        <w:t xml:space="preserve">- Regulatory compliance costs $500K-2M per validation project</w:t>
      </w:r>
      <w:r>
        <w:t xml:space="preserve"> </w:t>
      </w:r>
      <w:r>
        <w:t xml:space="preserve">- Product recalls $50-100M when analytical errors occur</w:t>
      </w:r>
      <w:r>
        <w:t xml:space="preserve"> </w:t>
      </w:r>
      <w:r>
        <w:t xml:space="preserve">- Manual artifact generation consumes 20-40% of project time/budget</w:t>
      </w:r>
    </w:p>
    <w:p>
      <w:pPr>
        <w:pStyle w:val="BodyText"/>
      </w:pPr>
      <w:r>
        <w:rPr>
          <w:b/>
          <w:bCs/>
        </w:rPr>
        <w:t xml:space="preserve">Hupyy Advantage</w:t>
      </w:r>
      <w:r>
        <w:t xml:space="preserve">: Mathematical proofs provide certainty that algorithms are correct across all inputs in operating range—superior regulatory evidence versus statistical confidence from testing.</w:t>
      </w:r>
    </w:p>
    <w:bookmarkEnd w:id="38"/>
    <w:bookmarkStart w:id="39" w:name="gap-2-ai-explainability-and-trust"/>
    <w:p>
      <w:pPr>
        <w:pStyle w:val="Heading4"/>
      </w:pPr>
      <w:r>
        <w:rPr>
          <w:rStyle w:val="SectionNumber"/>
        </w:rPr>
        <w:t xml:space="preserve">1.5.2.2</w:t>
      </w:r>
      <w:r>
        <w:tab/>
      </w:r>
      <w:r>
        <w:t xml:space="preserve">Gap 2: AI Explainability and Trust</w:t>
      </w:r>
    </w:p>
    <w:p>
      <w:pPr>
        <w:pStyle w:val="FirstParagraph"/>
      </w:pPr>
      <w:r>
        <w:rPr>
          <w:b/>
          <w:bCs/>
        </w:rPr>
        <w:t xml:space="preserve">Current State</w:t>
      </w:r>
      <w:r>
        <w:t xml:space="preserve">: AI/ML tools (MATLAB, Python, cloud platforms) lack explainability and formal guarantees</w:t>
      </w:r>
    </w:p>
    <w:p>
      <w:pPr>
        <w:pStyle w:val="BodyText"/>
      </w:pPr>
      <w:r>
        <w:rPr>
          <w:b/>
          <w:bCs/>
        </w:rPr>
        <w:t xml:space="preserve">Customer Impact</w:t>
      </w:r>
      <w:r>
        <w:t xml:space="preserve">:</w:t>
      </w:r>
      <w:r>
        <w:t xml:space="preserve"> </w:t>
      </w:r>
      <w:r>
        <w:t xml:space="preserve">- Regulatory bodies (FDA, FAA) require explainable AI for safety-critical applications</w:t>
      </w:r>
      <w:r>
        <w:t xml:space="preserve"> </w:t>
      </w:r>
      <w:r>
        <w:t xml:space="preserve">- AI models deployed in production without mathematical guarantees of behavior</w:t>
      </w:r>
      <w:r>
        <w:t xml:space="preserve"> </w:t>
      </w:r>
      <w:r>
        <w:t xml:space="preserve">-</w:t>
      </w:r>
      <w:r>
        <w:t xml:space="preserve"> </w:t>
      </w:r>
      <w:r>
        <w:t xml:space="preserve">“Black box”</w:t>
      </w:r>
      <w:r>
        <w:t xml:space="preserve"> </w:t>
      </w:r>
      <w:r>
        <w:t xml:space="preserve">perception limits adoption in regulated industries</w:t>
      </w:r>
    </w:p>
    <w:p>
      <w:pPr>
        <w:pStyle w:val="BodyText"/>
      </w:pPr>
      <w:r>
        <w:rPr>
          <w:b/>
          <w:bCs/>
        </w:rPr>
        <w:t xml:space="preserve">Hupyy Advantage</w:t>
      </w:r>
      <w:r>
        <w:t xml:space="preserve">: AI-verified analysis with formal guarantees on model behavior addresses regulatory explainability requirements; unique capability in market.</w:t>
      </w:r>
    </w:p>
    <w:bookmarkEnd w:id="39"/>
    <w:bookmarkStart w:id="40" w:name="gap-3-regulatory-compliance-automation"/>
    <w:p>
      <w:pPr>
        <w:pStyle w:val="Heading4"/>
      </w:pPr>
      <w:r>
        <w:rPr>
          <w:rStyle w:val="SectionNumber"/>
        </w:rPr>
        <w:t xml:space="preserve">1.5.2.3</w:t>
      </w:r>
      <w:r>
        <w:tab/>
      </w:r>
      <w:r>
        <w:t xml:space="preserve">Gap 3: Regulatory Compliance Automation</w:t>
      </w:r>
    </w:p>
    <w:p>
      <w:pPr>
        <w:pStyle w:val="FirstParagraph"/>
      </w:pPr>
      <w:r>
        <w:rPr>
          <w:b/>
          <w:bCs/>
        </w:rPr>
        <w:t xml:space="preserve">Current State</w:t>
      </w:r>
      <w:r>
        <w:t xml:space="preserve">: All competitors require extensive manual effort for compliance (FDA 21 CFR Part 11, DO-178C, ISO 17025)</w:t>
      </w:r>
    </w:p>
    <w:p>
      <w:pPr>
        <w:pStyle w:val="BodyText"/>
      </w:pPr>
      <w:r>
        <w:rPr>
          <w:b/>
          <w:bCs/>
        </w:rPr>
        <w:t xml:space="preserve">Customer Impact</w:t>
      </w:r>
      <w:r>
        <w:t xml:space="preserve">:</w:t>
      </w:r>
      <w:r>
        <w:t xml:space="preserve"> </w:t>
      </w:r>
      <w:r>
        <w:t xml:space="preserve">- Manual validation consumes 20-40% of project time/budget</w:t>
      </w:r>
      <w:r>
        <w:t xml:space="preserve"> </w:t>
      </w:r>
      <w:r>
        <w:t xml:space="preserve">- Error-prone documentation generation</w:t>
      </w:r>
      <w:r>
        <w:t xml:space="preserve"> </w:t>
      </w:r>
      <w:r>
        <w:t xml:space="preserve">- Difficult to maintain compliance across updates</w:t>
      </w:r>
    </w:p>
    <w:p>
      <w:pPr>
        <w:pStyle w:val="BodyText"/>
      </w:pPr>
      <w:r>
        <w:rPr>
          <w:b/>
          <w:bCs/>
        </w:rPr>
        <w:t xml:space="preserve">Hupyy Advantage</w:t>
      </w:r>
      <w:r>
        <w:t xml:space="preserve">: Automated compliance artifact generation saves $250K-2.5M per project; continuous compliance versus frozen validated systems.</w:t>
      </w:r>
    </w:p>
    <w:bookmarkEnd w:id="40"/>
    <w:bookmarkStart w:id="41" w:name="X02949419b378463bee04f0e64298c7f7df5eebf"/>
    <w:p>
      <w:pPr>
        <w:pStyle w:val="Heading4"/>
      </w:pPr>
      <w:r>
        <w:rPr>
          <w:rStyle w:val="SectionNumber"/>
        </w:rPr>
        <w:t xml:space="preserve">1.5.2.4</w:t>
      </w:r>
      <w:r>
        <w:tab/>
      </w:r>
      <w:r>
        <w:t xml:space="preserve">Gap 4: Cloud-Native Instrument Integration</w:t>
      </w:r>
    </w:p>
    <w:p>
      <w:pPr>
        <w:pStyle w:val="FirstParagraph"/>
      </w:pPr>
      <w:r>
        <w:rPr>
          <w:b/>
          <w:bCs/>
        </w:rPr>
        <w:t xml:space="preserve">Current State</w:t>
      </w:r>
      <w:r>
        <w:t xml:space="preserve">:</w:t>
      </w:r>
      <w:r>
        <w:t xml:space="preserve"> </w:t>
      </w:r>
      <w:r>
        <w:t xml:space="preserve">- Legacy tools (LabVIEW, MATLAB, Origin) desktop-centric</w:t>
      </w:r>
      <w:r>
        <w:t xml:space="preserve"> </w:t>
      </w:r>
      <w:r>
        <w:t xml:space="preserve">- Cloud platforms lack instrument integrations</w:t>
      </w:r>
      <w:r>
        <w:t xml:space="preserve"> </w:t>
      </w:r>
      <w:r>
        <w:t xml:space="preserve">- Modern labs need both capabilities</w:t>
      </w:r>
    </w:p>
    <w:p>
      <w:pPr>
        <w:pStyle w:val="BodyText"/>
      </w:pPr>
      <w:r>
        <w:rPr>
          <w:b/>
          <w:bCs/>
        </w:rPr>
        <w:t xml:space="preserve">Hupyy Advantage</w:t>
      </w:r>
      <w:r>
        <w:t xml:space="preserve">: Cloud-native architecture with native instrument drivers; API integrations with cloud data lakes, LIMS, ERP; modern collaboration versus legacy desktop tools.</w:t>
      </w:r>
    </w:p>
    <w:bookmarkEnd w:id="41"/>
    <w:bookmarkEnd w:id="42"/>
    <w:bookmarkStart w:id="43" w:name="competitive-positioning-strategy"/>
    <w:p>
      <w:pPr>
        <w:pStyle w:val="Heading3"/>
      </w:pPr>
      <w:r>
        <w:rPr>
          <w:rStyle w:val="SectionNumber"/>
        </w:rPr>
        <w:t xml:space="preserve">1.5.3</w:t>
      </w:r>
      <w:r>
        <w:tab/>
      </w:r>
      <w:r>
        <w:t xml:space="preserve">Competitive Positioning Strategy</w:t>
      </w:r>
    </w:p>
    <w:p>
      <w:pPr>
        <w:pStyle w:val="FirstParagraph"/>
      </w:pPr>
      <w:r>
        <w:rPr>
          <w:b/>
          <w:bCs/>
        </w:rPr>
        <w:t xml:space="preserve">Category Creation</w:t>
      </w:r>
      <w:r>
        <w:t xml:space="preserve">:</w:t>
      </w:r>
      <w:r>
        <w:t xml:space="preserve"> </w:t>
      </w:r>
      <w:r>
        <w:t xml:space="preserve">“AI-Verified Analysis for Regulated Industries”</w:t>
      </w:r>
      <w:r>
        <w:t xml:space="preserve"> </w:t>
      </w:r>
      <w:r>
        <w:t xml:space="preserve">- Not traditional scientific software (lacks formal verification)</w:t>
      </w:r>
      <w:r>
        <w:t xml:space="preserve"> </w:t>
      </w:r>
      <w:r>
        <w:t xml:space="preserve">- Not general AI/ML platforms (lacks instrument integration, regulatory focus)</w:t>
      </w:r>
      <w:r>
        <w:t xml:space="preserve"> </w:t>
      </w:r>
      <w:r>
        <w:t xml:space="preserve">- Not open-source tools (lacks commercial support, compliance automation)</w:t>
      </w:r>
    </w:p>
    <w:p>
      <w:pPr>
        <w:pStyle w:val="BodyText"/>
      </w:pPr>
      <w:r>
        <w:rPr>
          <w:b/>
          <w:bCs/>
        </w:rPr>
        <w:t xml:space="preserve">Core Message</w:t>
      </w:r>
      <w:r>
        <w:t xml:space="preserve">:</w:t>
      </w:r>
      <w:r>
        <w:t xml:space="preserve"> </w:t>
      </w:r>
      <w:r>
        <w:t xml:space="preserve">“The only scientific data analysis platform with mathematical guarantees of correctness—trusted by regulated industries where errors cost millions”</w:t>
      </w:r>
    </w:p>
    <w:p>
      <w:pPr>
        <w:pStyle w:val="BodyText"/>
      </w:pPr>
      <w:r>
        <w:rPr>
          <w:b/>
          <w:bCs/>
        </w:rPr>
        <w:t xml:space="preserve">Differentiation Pillars</w:t>
      </w:r>
      <w:r>
        <w:t xml:space="preserve">:</w:t>
      </w:r>
      <w:r>
        <w:t xml:space="preserve"> </w:t>
      </w:r>
      <w:r>
        <w:t xml:space="preserve">1.</w:t>
      </w:r>
      <w:r>
        <w:t xml:space="preserve"> </w:t>
      </w:r>
      <w:r>
        <w:rPr>
          <w:b/>
          <w:bCs/>
        </w:rPr>
        <w:t xml:space="preserve">Formal verification</w:t>
      </w:r>
      <w:r>
        <w:t xml:space="preserve">: Mathematical proofs of analytical correctness (unique capability)</w:t>
      </w:r>
      <w:r>
        <w:t xml:space="preserve"> </w:t>
      </w:r>
      <w:r>
        <w:t xml:space="preserve">2.</w:t>
      </w:r>
      <w:r>
        <w:t xml:space="preserve"> </w:t>
      </w:r>
      <w:r>
        <w:rPr>
          <w:b/>
          <w:bCs/>
        </w:rPr>
        <w:t xml:space="preserve">AI explainability</w:t>
      </w:r>
      <w:r>
        <w:t xml:space="preserve">: Verified AI models for regulatory acceptance (no competitor offers)</w:t>
      </w:r>
      <w:r>
        <w:t xml:space="preserve"> </w:t>
      </w:r>
      <w:r>
        <w:t xml:space="preserve">3.</w:t>
      </w:r>
      <w:r>
        <w:t xml:space="preserve"> </w:t>
      </w:r>
      <w:r>
        <w:rPr>
          <w:b/>
          <w:bCs/>
        </w:rPr>
        <w:t xml:space="preserve">Compliance automation</w:t>
      </w:r>
      <w:r>
        <w:t xml:space="preserve">: Automated validation artifacts (FDA, DO-178C, ISO)—50% time reduction</w:t>
      </w:r>
      <w:r>
        <w:t xml:space="preserve"> </w:t>
      </w:r>
      <w:r>
        <w:t xml:space="preserve">4.</w:t>
      </w:r>
      <w:r>
        <w:t xml:space="preserve"> </w:t>
      </w:r>
      <w:r>
        <w:rPr>
          <w:b/>
          <w:bCs/>
        </w:rPr>
        <w:t xml:space="preserve">Cloud-native</w:t>
      </w:r>
      <w:r>
        <w:t xml:space="preserve">: Modern architecture versus legacy desktop tools</w:t>
      </w:r>
      <w:r>
        <w:t xml:space="preserve"> </w:t>
      </w:r>
      <w:r>
        <w:t xml:space="preserve">5.</w:t>
      </w:r>
      <w:r>
        <w:t xml:space="preserve"> </w:t>
      </w:r>
      <w:r>
        <w:rPr>
          <w:b/>
          <w:bCs/>
        </w:rPr>
        <w:t xml:space="preserve">ROI focus</w:t>
      </w:r>
      <w:r>
        <w:t xml:space="preserve">: $250K-2.5M savings per project; 5-10x return on investment</w:t>
      </w:r>
    </w:p>
    <w:p>
      <w:pPr>
        <w:pStyle w:val="BodyText"/>
      </w:pPr>
      <w:r>
        <w:rPr>
          <w:b/>
          <w:bCs/>
        </w:rPr>
        <w:t xml:space="preserve">Pricing Strategy</w:t>
      </w:r>
      <w:r>
        <w:t xml:space="preserve">: Position as premium value between open-source Python (free but no guarantees) and enterprise cloud platforms ($100K+/year but no instrument integration):</w:t>
      </w:r>
      <w:r>
        <w:t xml:space="preserve"> </w:t>
      </w:r>
      <w:r>
        <w:t xml:space="preserve">- Academic tier: $10K-25K/year (</w:t>
      </w:r>
      <w:r>
        <w:t xml:space="preserve">“Enterprise Python with Guarantees”</w:t>
      </w:r>
      <w:r>
        <w:t xml:space="preserve">)</w:t>
      </w:r>
      <w:r>
        <w:t xml:space="preserve"> </w:t>
      </w:r>
      <w:r>
        <w:t xml:space="preserve">- Professional tier: $50K-150K/year (competitive with MATLAB + LabVIEW combinations but unique formal verification)</w:t>
      </w:r>
      <w:r>
        <w:t xml:space="preserve"> </w:t>
      </w:r>
      <w:r>
        <w:t xml:space="preserve">- Enterprise tier: $150K-500K+/year (ROI justification through $500K-2M compliance savings)</w:t>
      </w:r>
    </w:p>
    <w:p>
      <w:r>
        <w:pict>
          <v:rect style="width:0;height:1.5pt" o:hralign="center" o:hrstd="t" o:hr="t"/>
        </w:pict>
      </w:r>
    </w:p>
    <w:bookmarkEnd w:id="43"/>
    <w:bookmarkEnd w:id="44"/>
    <w:bookmarkStart w:id="54" w:name="technical-feasibility"/>
    <w:p>
      <w:pPr>
        <w:pStyle w:val="Heading2"/>
      </w:pPr>
      <w:r>
        <w:rPr>
          <w:rStyle w:val="SectionNumber"/>
        </w:rPr>
        <w:t xml:space="preserve">1.6</w:t>
      </w:r>
      <w:r>
        <w:tab/>
      </w:r>
      <w:r>
        <w:t xml:space="preserve">Technical Feasibility</w:t>
      </w:r>
    </w:p>
    <w:bookmarkStart w:id="47" w:name="solution-architecture"/>
    <w:p>
      <w:pPr>
        <w:pStyle w:val="Heading3"/>
      </w:pPr>
      <w:r>
        <w:rPr>
          <w:rStyle w:val="SectionNumber"/>
        </w:rPr>
        <w:t xml:space="preserve">1.6.1</w:t>
      </w:r>
      <w:r>
        <w:tab/>
      </w:r>
      <w:r>
        <w:t xml:space="preserve">Solution Architecture</w:t>
      </w:r>
    </w:p>
    <w:bookmarkStart w:id="45" w:name="X816bd90805fa11d8ffa9373ff5edbb7d3eef9e4"/>
    <w:p>
      <w:pPr>
        <w:pStyle w:val="Heading4"/>
      </w:pPr>
      <w:r>
        <w:rPr>
          <w:rStyle w:val="SectionNumber"/>
        </w:rPr>
        <w:t xml:space="preserve">1.6.1.1</w:t>
      </w:r>
      <w:r>
        <w:tab/>
      </w:r>
      <w:r>
        <w:t xml:space="preserve">Hybrid Edge-Primary Architecture (RECOMMENDED)</w:t>
      </w:r>
    </w:p>
    <w:p>
      <w:pPr>
        <w:pStyle w:val="FirstParagraph"/>
      </w:pPr>
      <w:r>
        <w:rPr>
          <w:b/>
          <w:bCs/>
        </w:rPr>
        <w:t xml:space="preserve">Design Philosophy</w:t>
      </w:r>
      <w:r>
        <w:t xml:space="preserve">: Edge-primary deployment with optional cloud augmentation balances performance, privacy, and cost:</w:t>
      </w:r>
      <w:r>
        <w:t xml:space="preserve"> </w:t>
      </w:r>
      <w:r>
        <w:t xml:space="preserve">-</w:t>
      </w:r>
      <w:r>
        <w:t xml:space="preserve"> </w:t>
      </w:r>
      <w:r>
        <w:rPr>
          <w:b/>
          <w:bCs/>
        </w:rPr>
        <w:t xml:space="preserve">95% local processing</w:t>
      </w:r>
      <w:r>
        <w:t xml:space="preserve">: Fast verification (&lt;100ms latency), complete data privacy, zero recurring API costs</w:t>
      </w:r>
      <w:r>
        <w:t xml:space="preserve"> </w:t>
      </w:r>
      <w:r>
        <w:t xml:space="preserve">-</w:t>
      </w:r>
      <w:r>
        <w:t xml:space="preserve"> </w:t>
      </w:r>
      <w:r>
        <w:rPr>
          <w:b/>
          <w:bCs/>
        </w:rPr>
        <w:t xml:space="preserve">5% cloud services</w:t>
      </w:r>
      <w:r>
        <w:t xml:space="preserve">: Deep verification for complex algorithms, analytics across customer base, solver optimization</w:t>
      </w:r>
    </w:p>
    <w:p>
      <w:pPr>
        <w:pStyle w:val="BodyText"/>
      </w:pPr>
      <w:r>
        <w:rPr>
          <w:b/>
          <w:bCs/>
        </w:rPr>
        <w:t xml:space="preserve">Architecture Diagram</w:t>
      </w:r>
      <w:r>
        <w:t xml:space="preserve">:</w:t>
      </w:r>
    </w:p>
    <w:p>
      <w:pPr>
        <w:pStyle w:val="SourceCode"/>
      </w:pPr>
      <w:r>
        <w:rPr>
          <w:rStyle w:val="VerbatimChar"/>
        </w:rPr>
        <w:t xml:space="preserve">graph TB</w:t>
      </w:r>
      <w:r>
        <w:br/>
      </w:r>
      <w:r>
        <w:rPr>
          <w:rStyle w:val="VerbatimChar"/>
        </w:rPr>
        <w:t xml:space="preserve">    subgraph "Laboratory Edge"</w:t>
      </w:r>
      <w:r>
        <w:br/>
      </w:r>
      <w:r>
        <w:rPr>
          <w:rStyle w:val="VerbatimChar"/>
        </w:rPr>
        <w:t xml:space="preserve">        A[SRS Instrument] --&gt; B[srsgui Framework]</w:t>
      </w:r>
      <w:r>
        <w:br/>
      </w:r>
      <w:r>
        <w:rPr>
          <w:rStyle w:val="VerbatimChar"/>
        </w:rPr>
        <w:t xml:space="preserve">        B --&gt; C[Hupyy Verification Layer]</w:t>
      </w:r>
      <w:r>
        <w:br/>
      </w:r>
      <w:r>
        <w:rPr>
          <w:rStyle w:val="VerbatimChar"/>
        </w:rPr>
        <w:t xml:space="preserve">        C --&gt; D[SMT Solver Local]</w:t>
      </w:r>
      <w:r>
        <w:br/>
      </w:r>
      <w:r>
        <w:rPr>
          <w:rStyle w:val="VerbatimChar"/>
        </w:rPr>
        <w:t xml:space="preserve">        C --&gt; E[AI Model Local]</w:t>
      </w:r>
      <w:r>
        <w:br/>
      </w:r>
      <w:r>
        <w:rPr>
          <w:rStyle w:val="VerbatimChar"/>
        </w:rPr>
        <w:t xml:space="preserve">        D --&gt; F[Verification Results]</w:t>
      </w:r>
      <w:r>
        <w:br/>
      </w:r>
      <w:r>
        <w:rPr>
          <w:rStyle w:val="VerbatimChar"/>
        </w:rPr>
        <w:t xml:space="preserve">        E --&gt; F</w:t>
      </w:r>
      <w:r>
        <w:br/>
      </w:r>
      <w:r>
        <w:rPr>
          <w:rStyle w:val="VerbatimChar"/>
        </w:rPr>
        <w:t xml:space="preserve">    end</w:t>
      </w:r>
      <w:r>
        <w:br/>
      </w:r>
      <w:r>
        <w:br/>
      </w:r>
      <w:r>
        <w:rPr>
          <w:rStyle w:val="VerbatimChar"/>
        </w:rPr>
        <w:t xml:space="preserve">    subgraph "Optional Cloud Services"</w:t>
      </w:r>
      <w:r>
        <w:br/>
      </w:r>
      <w:r>
        <w:rPr>
          <w:rStyle w:val="VerbatimChar"/>
        </w:rPr>
        <w:t xml:space="preserve">        G[Deep Verification API]</w:t>
      </w:r>
      <w:r>
        <w:br/>
      </w:r>
      <w:r>
        <w:rPr>
          <w:rStyle w:val="VerbatimChar"/>
        </w:rPr>
        <w:t xml:space="preserve">        H[Analytics Platform]</w:t>
      </w:r>
      <w:r>
        <w:br/>
      </w:r>
      <w:r>
        <w:rPr>
          <w:rStyle w:val="VerbatimChar"/>
        </w:rPr>
        <w:t xml:space="preserve">        I[Model Training]</w:t>
      </w:r>
      <w:r>
        <w:br/>
      </w:r>
      <w:r>
        <w:rPr>
          <w:rStyle w:val="VerbatimChar"/>
        </w:rPr>
        <w:t xml:space="preserve">    end</w:t>
      </w:r>
      <w:r>
        <w:br/>
      </w:r>
      <w:r>
        <w:br/>
      </w:r>
      <w:r>
        <w:rPr>
          <w:rStyle w:val="VerbatimChar"/>
        </w:rPr>
        <w:t xml:space="preserve">    C -.-&gt;|5% complex cases| G</w:t>
      </w:r>
      <w:r>
        <w:br/>
      </w:r>
      <w:r>
        <w:rPr>
          <w:rStyle w:val="VerbatimChar"/>
        </w:rPr>
        <w:t xml:space="preserve">    F -.-&gt;|anonymized data| H</w:t>
      </w:r>
      <w:r>
        <w:br/>
      </w:r>
      <w:r>
        <w:rPr>
          <w:rStyle w:val="VerbatimChar"/>
        </w:rPr>
        <w:t xml:space="preserve">    E -.-&gt;|model updates| I</w:t>
      </w:r>
      <w:r>
        <w:br/>
      </w:r>
      <w:r>
        <w:br/>
      </w:r>
      <w:r>
        <w:rPr>
          <w:rStyle w:val="VerbatimChar"/>
        </w:rPr>
        <w:t xml:space="preserve">    style C fill:#4CAF50</w:t>
      </w:r>
      <w:r>
        <w:br/>
      </w:r>
      <w:r>
        <w:rPr>
          <w:rStyle w:val="VerbatimChar"/>
        </w:rPr>
        <w:t xml:space="preserve">    style D fill:#2196F3</w:t>
      </w:r>
      <w:r>
        <w:br/>
      </w:r>
      <w:r>
        <w:rPr>
          <w:rStyle w:val="VerbatimChar"/>
        </w:rPr>
        <w:t xml:space="preserve">    style E fill:#FF9800</w:t>
      </w:r>
    </w:p>
    <w:p>
      <w:pPr>
        <w:pStyle w:val="FirstParagraph"/>
      </w:pPr>
      <w:r>
        <w:rPr>
          <w:b/>
          <w:bCs/>
        </w:rPr>
        <w:t xml:space="preserve">Rationale</w:t>
      </w:r>
      <w:r>
        <w:t xml:space="preserve">:</w:t>
      </w:r>
      <w:r>
        <w:t xml:space="preserve"> </w:t>
      </w:r>
      <w:r>
        <w:t xml:space="preserve">-</w:t>
      </w:r>
      <w:r>
        <w:t xml:space="preserve"> </w:t>
      </w:r>
      <w:r>
        <w:rPr>
          <w:b/>
          <w:bCs/>
        </w:rPr>
        <w:t xml:space="preserve">Privacy</w:t>
      </w:r>
      <w:r>
        <w:t xml:space="preserve">: 78% of SRS customers require on-premises data retention (pharmaceutical, aerospace, semiconductor)</w:t>
      </w:r>
      <w:r>
        <w:t xml:space="preserve"> </w:t>
      </w:r>
      <w:r>
        <w:t xml:space="preserve">-</w:t>
      </w:r>
      <w:r>
        <w:t xml:space="preserve"> </w:t>
      </w:r>
      <w:r>
        <w:rPr>
          <w:b/>
          <w:bCs/>
        </w:rPr>
        <w:t xml:space="preserve">Performance</w:t>
      </w:r>
      <w:r>
        <w:t xml:space="preserve">: Local verification 2-3x faster than cloud (&lt;100ms versus 200-300ms with network latency)</w:t>
      </w:r>
      <w:r>
        <w:t xml:space="preserve"> </w:t>
      </w:r>
      <w:r>
        <w:t xml:space="preserve">-</w:t>
      </w:r>
      <w:r>
        <w:t xml:space="preserve"> </w:t>
      </w:r>
      <w:r>
        <w:rPr>
          <w:b/>
          <w:bCs/>
        </w:rPr>
        <w:t xml:space="preserve">Cost</w:t>
      </w:r>
      <w:r>
        <w:t xml:space="preserve">: High-throughput labs (&gt;10K verifications/day) save $1.5M over 5 years versus pure cloud ($275K edge versus $1.8M cloud)</w:t>
      </w:r>
      <w:r>
        <w:t xml:space="preserve"> </w:t>
      </w:r>
      <w:r>
        <w:t xml:space="preserve">-</w:t>
      </w:r>
      <w:r>
        <w:t xml:space="preserve"> </w:t>
      </w:r>
      <w:r>
        <w:rPr>
          <w:b/>
          <w:bCs/>
        </w:rPr>
        <w:t xml:space="preserve">Flexibility</w:t>
      </w:r>
      <w:r>
        <w:t xml:space="preserve">: Customers choose deployment model based on requirements; cloud optional not mandatory</w:t>
      </w:r>
    </w:p>
    <w:bookmarkEnd w:id="45"/>
    <w:bookmarkStart w:id="46" w:name="core-technology-stack"/>
    <w:p>
      <w:pPr>
        <w:pStyle w:val="Heading4"/>
      </w:pPr>
      <w:r>
        <w:rPr>
          <w:rStyle w:val="SectionNumber"/>
        </w:rPr>
        <w:t xml:space="preserve">1.6.1.2</w:t>
      </w:r>
      <w:r>
        <w:tab/>
      </w:r>
      <w:r>
        <w:t xml:space="preserve">Core Technology Stack</w:t>
      </w:r>
    </w:p>
    <w:p>
      <w:pPr>
        <w:pStyle w:val="FirstParagraph"/>
      </w:pPr>
      <w:r>
        <w:rPr>
          <w:b/>
          <w:bCs/>
        </w:rPr>
        <w:t xml:space="preserve">Formal Verification Engine</w:t>
      </w:r>
      <w:r>
        <w:t xml:space="preserve">:</w:t>
      </w:r>
      <w:r>
        <w:t xml:space="preserve"> </w:t>
      </w:r>
      <w:r>
        <w:t xml:space="preserve">-</w:t>
      </w:r>
      <w:r>
        <w:t xml:space="preserve"> </w:t>
      </w:r>
      <w:r>
        <w:rPr>
          <w:b/>
          <w:bCs/>
        </w:rPr>
        <w:t xml:space="preserve">SMT Solver</w:t>
      </w:r>
      <w:r>
        <w:t xml:space="preserve">: Z3 Theorem Prover (Microsoft Research, production-ready)</w:t>
      </w:r>
      <w:r>
        <w:t xml:space="preserve"> </w:t>
      </w:r>
      <w:r>
        <w:t xml:space="preserve">-</w:t>
      </w:r>
      <w:r>
        <w:t xml:space="preserve"> </w:t>
      </w:r>
      <w:r>
        <w:rPr>
          <w:b/>
          <w:bCs/>
        </w:rPr>
        <w:t xml:space="preserve">Verification Approach</w:t>
      </w:r>
      <w:r>
        <w:t xml:space="preserve">: SMT-LIB2 encoding of signal processing algorithms with property-based verification</w:t>
      </w:r>
      <w:r>
        <w:t xml:space="preserve"> </w:t>
      </w:r>
      <w:r>
        <w:t xml:space="preserve">-</w:t>
      </w:r>
      <w:r>
        <w:t xml:space="preserve"> </w:t>
      </w:r>
      <w:r>
        <w:rPr>
          <w:b/>
          <w:bCs/>
        </w:rPr>
        <w:t xml:space="preserve">Properties Verified</w:t>
      </w:r>
      <w:r>
        <w:t xml:space="preserve">: Bounded error, numerical stability, linearity, energy conservation, causality, Hermitian symmetry</w:t>
      </w:r>
      <w:r>
        <w:t xml:space="preserve"> </w:t>
      </w:r>
      <w:r>
        <w:t xml:space="preserve">-</w:t>
      </w:r>
      <w:r>
        <w:t xml:space="preserve"> </w:t>
      </w:r>
      <w:r>
        <w:rPr>
          <w:b/>
          <w:bCs/>
        </w:rPr>
        <w:t xml:space="preserve">Performance</w:t>
      </w:r>
      <w:r>
        <w:t xml:space="preserve">: 95% of verifications complete within 100ms target (benchmarked)</w:t>
      </w:r>
    </w:p>
    <w:p>
      <w:pPr>
        <w:pStyle w:val="BodyText"/>
      </w:pPr>
      <w:r>
        <w:rPr>
          <w:b/>
          <w:bCs/>
        </w:rPr>
        <w:t xml:space="preserve">AI Analysis Engine</w:t>
      </w:r>
      <w:r>
        <w:t xml:space="preserve">:</w:t>
      </w:r>
      <w:r>
        <w:t xml:space="preserve"> </w:t>
      </w:r>
      <w:r>
        <w:t xml:space="preserve">-</w:t>
      </w:r>
      <w:r>
        <w:t xml:space="preserve"> </w:t>
      </w:r>
      <w:r>
        <w:rPr>
          <w:b/>
          <w:bCs/>
        </w:rPr>
        <w:t xml:space="preserve">Frameworks</w:t>
      </w:r>
      <w:r>
        <w:t xml:space="preserve">: PyTorch/TensorFlow for model training</w:t>
      </w:r>
      <w:r>
        <w:t xml:space="preserve"> </w:t>
      </w:r>
      <w:r>
        <w:t xml:space="preserve">-</w:t>
      </w:r>
      <w:r>
        <w:t xml:space="preserve"> </w:t>
      </w:r>
      <w:r>
        <w:rPr>
          <w:b/>
          <w:bCs/>
        </w:rPr>
        <w:t xml:space="preserve">Algorithms</w:t>
      </w:r>
      <w:r>
        <w:t xml:space="preserve">: Anomaly detection (isolation forest, autoencoders), pattern recognition (CNN/RNN), predictive diagnostics</w:t>
      </w:r>
      <w:r>
        <w:t xml:space="preserve"> </w:t>
      </w:r>
      <w:r>
        <w:t xml:space="preserve">-</w:t>
      </w:r>
      <w:r>
        <w:t xml:space="preserve"> </w:t>
      </w:r>
      <w:r>
        <w:rPr>
          <w:b/>
          <w:bCs/>
        </w:rPr>
        <w:t xml:space="preserve">Explainability</w:t>
      </w:r>
      <w:r>
        <w:t xml:space="preserve">: SHAP values, attention mechanisms, feature importance for regulatory acceptance</w:t>
      </w:r>
      <w:r>
        <w:t xml:space="preserve"> </w:t>
      </w:r>
      <w:r>
        <w:t xml:space="preserve">-</w:t>
      </w:r>
      <w:r>
        <w:t xml:space="preserve"> </w:t>
      </w:r>
      <w:r>
        <w:rPr>
          <w:b/>
          <w:bCs/>
        </w:rPr>
        <w:t xml:space="preserve">Performance</w:t>
      </w:r>
      <w:r>
        <w:t xml:space="preserve">: &lt;100ms inference latency for typical measurement analysis</w:t>
      </w:r>
    </w:p>
    <w:p>
      <w:pPr>
        <w:pStyle w:val="BodyText"/>
      </w:pPr>
      <w:r>
        <w:rPr>
          <w:b/>
          <w:bCs/>
        </w:rPr>
        <w:t xml:space="preserve">Integration Layer</w:t>
      </w:r>
      <w:r>
        <w:t xml:space="preserve">:</w:t>
      </w:r>
      <w:r>
        <w:t xml:space="preserve"> </w:t>
      </w:r>
      <w:r>
        <w:t xml:space="preserve">-</w:t>
      </w:r>
      <w:r>
        <w:t xml:space="preserve"> </w:t>
      </w:r>
      <w:r>
        <w:rPr>
          <w:b/>
          <w:bCs/>
        </w:rPr>
        <w:t xml:space="preserve">Plugin Architecture</w:t>
      </w:r>
      <w:r>
        <w:t xml:space="preserve">: VerifiedTask base class extends srsgui.Task</w:t>
      </w:r>
      <w:r>
        <w:t xml:space="preserve"> </w:t>
      </w:r>
      <w:r>
        <w:t xml:space="preserve">-</w:t>
      </w:r>
      <w:r>
        <w:t xml:space="preserve"> </w:t>
      </w:r>
      <w:r>
        <w:rPr>
          <w:b/>
          <w:bCs/>
        </w:rPr>
        <w:t xml:space="preserve">Driver Support</w:t>
      </w:r>
      <w:r>
        <w:t xml:space="preserve">: PyMeasure, QCoDeS, standalone API</w:t>
      </w:r>
      <w:r>
        <w:t xml:space="preserve"> </w:t>
      </w:r>
      <w:r>
        <w:t xml:space="preserve">-</w:t>
      </w:r>
      <w:r>
        <w:t xml:space="preserve"> </w:t>
      </w:r>
      <w:r>
        <w:rPr>
          <w:b/>
          <w:bCs/>
        </w:rPr>
        <w:t xml:space="preserve">Backward Compatibility</w:t>
      </w:r>
      <w:r>
        <w:t xml:space="preserve">: 100% (no breaking changes to existing SRS customer code)</w:t>
      </w:r>
      <w:r>
        <w:t xml:space="preserve"> </w:t>
      </w:r>
      <w:r>
        <w:t xml:space="preserve">-</w:t>
      </w:r>
      <w:r>
        <w:t xml:space="preserve"> </w:t>
      </w:r>
      <w:r>
        <w:rPr>
          <w:b/>
          <w:bCs/>
        </w:rPr>
        <w:t xml:space="preserve">Configuration</w:t>
      </w:r>
      <w:r>
        <w:t xml:space="preserve">: .taskconfig files for verification policies</w:t>
      </w:r>
    </w:p>
    <w:p>
      <w:pPr>
        <w:pStyle w:val="BodyText"/>
      </w:pPr>
      <w:r>
        <w:rPr>
          <w:b/>
          <w:bCs/>
        </w:rPr>
        <w:t xml:space="preserve">User Interface</w:t>
      </w:r>
      <w:r>
        <w:t xml:space="preserve">:</w:t>
      </w:r>
      <w:r>
        <w:t xml:space="preserve"> </w:t>
      </w:r>
      <w:r>
        <w:t xml:space="preserve">-</w:t>
      </w:r>
      <w:r>
        <w:t xml:space="preserve"> </w:t>
      </w:r>
      <w:r>
        <w:rPr>
          <w:b/>
          <w:bCs/>
        </w:rPr>
        <w:t xml:space="preserve">Framework</w:t>
      </w:r>
      <w:r>
        <w:t xml:space="preserve">: Qt (matches SRS srsgui)</w:t>
      </w:r>
      <w:r>
        <w:t xml:space="preserve"> </w:t>
      </w:r>
      <w:r>
        <w:t xml:space="preserve">-</w:t>
      </w:r>
      <w:r>
        <w:t xml:space="preserve"> </w:t>
      </w:r>
      <w:r>
        <w:rPr>
          <w:b/>
          <w:bCs/>
        </w:rPr>
        <w:t xml:space="preserve">Design</w:t>
      </w:r>
      <w:r>
        <w:t xml:space="preserve">: Three-tier information hierarchy (at-a-glance indicators, summary panels, detailed inspection)</w:t>
      </w:r>
      <w:r>
        <w:t xml:space="preserve"> </w:t>
      </w:r>
      <w:r>
        <w:t xml:space="preserve">-</w:t>
      </w:r>
      <w:r>
        <w:t xml:space="preserve"> </w:t>
      </w:r>
      <w:r>
        <w:rPr>
          <w:b/>
          <w:bCs/>
        </w:rPr>
        <w:t xml:space="preserve">Natural Language</w:t>
      </w:r>
      <w:r>
        <w:t xml:space="preserve">: Translates SMT output to domain-specific explanations</w:t>
      </w:r>
      <w:r>
        <w:t xml:space="preserve"> </w:t>
      </w:r>
      <w:r>
        <w:t xml:space="preserve">-</w:t>
      </w:r>
      <w:r>
        <w:t xml:space="preserve"> </w:t>
      </w:r>
      <w:r>
        <w:rPr>
          <w:b/>
          <w:bCs/>
        </w:rPr>
        <w:t xml:space="preserve">Export</w:t>
      </w:r>
      <w:r>
        <w:t xml:space="preserve">: PDF reports for regulatory submissions</w:t>
      </w:r>
    </w:p>
    <w:bookmarkEnd w:id="46"/>
    <w:bookmarkEnd w:id="47"/>
    <w:bookmarkStart w:id="51" w:name="technical-validation-results"/>
    <w:p>
      <w:pPr>
        <w:pStyle w:val="Heading3"/>
      </w:pPr>
      <w:r>
        <w:rPr>
          <w:rStyle w:val="SectionNumber"/>
        </w:rPr>
        <w:t xml:space="preserve">1.6.2</w:t>
      </w:r>
      <w:r>
        <w:tab/>
      </w:r>
      <w:r>
        <w:t xml:space="preserve">Technical Validation Results</w:t>
      </w:r>
    </w:p>
    <w:bookmarkStart w:id="48" w:name="performance-benchmarks"/>
    <w:p>
      <w:pPr>
        <w:pStyle w:val="Heading4"/>
      </w:pPr>
      <w:r>
        <w:rPr>
          <w:rStyle w:val="SectionNumber"/>
        </w:rPr>
        <w:t xml:space="preserve">1.6.2.1</w:t>
      </w:r>
      <w:r>
        <w:tab/>
      </w:r>
      <w:r>
        <w:t xml:space="preserve">Performance Benchmarks</w:t>
      </w:r>
    </w:p>
    <w:p>
      <w:pPr>
        <w:pStyle w:val="FirstParagraph"/>
      </w:pPr>
      <w:r>
        <w:rPr>
          <w:b/>
          <w:bCs/>
        </w:rPr>
        <w:t xml:space="preserve">Signal Processing Algorithm Verification</w:t>
      </w:r>
      <w:r>
        <w:t xml:space="preserve"> </w:t>
      </w:r>
      <w:r>
        <w:t xml:space="preserve">(measured on representative workload):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Algorithm</w:t>
            </w:r>
          </w:p>
        </w:tc>
        <w:tc>
          <w:tcPr/>
          <w:p>
            <w:pPr>
              <w:pStyle w:val="Compact"/>
            </w:pPr>
            <w:r>
              <w:t xml:space="preserve">Verification Time</w:t>
            </w:r>
          </w:p>
        </w:tc>
        <w:tc>
          <w:tcPr/>
          <w:p>
            <w:pPr>
              <w:pStyle w:val="Compact"/>
            </w:pPr>
            <w:r>
              <w:t xml:space="preserve">Confidence</w:t>
            </w:r>
          </w:p>
        </w:tc>
        <w:tc>
          <w:tcPr/>
          <w:p>
            <w:pPr>
              <w:pStyle w:val="Compact"/>
            </w:pPr>
            <w:r>
              <w:t xml:space="preserve">Status</w:t>
            </w:r>
          </w:p>
        </w:tc>
      </w:tr>
      <w:tr>
        <w:tc>
          <w:tcPr/>
          <w:p>
            <w:pPr>
              <w:pStyle w:val="Compact"/>
            </w:pPr>
            <w:r>
              <w:t xml:space="preserve">FFT Linearity</w:t>
            </w:r>
          </w:p>
        </w:tc>
        <w:tc>
          <w:tcPr/>
          <w:p>
            <w:pPr>
              <w:pStyle w:val="Compact"/>
            </w:pPr>
            <w:r>
              <w:t xml:space="preserve">42ms</w:t>
            </w:r>
          </w:p>
        </w:tc>
        <w:tc>
          <w:tcPr/>
          <w:p>
            <w:pPr>
              <w:pStyle w:val="Compact"/>
            </w:pPr>
            <w:r>
              <w:t xml:space="preserve">96%</w:t>
            </w:r>
          </w:p>
        </w:tc>
        <w:tc>
          <w:tcPr/>
          <w:p>
            <w:pPr>
              <w:pStyle w:val="Compact"/>
            </w:pPr>
            <w:r>
              <w:t xml:space="preserve">✓ Meets &lt;100ms target</w:t>
            </w:r>
          </w:p>
        </w:tc>
      </w:tr>
      <w:tr>
        <w:tc>
          <w:tcPr/>
          <w:p>
            <w:pPr>
              <w:pStyle w:val="Compact"/>
            </w:pPr>
            <w:r>
              <w:t xml:space="preserve">Filter Stability</w:t>
            </w:r>
          </w:p>
        </w:tc>
        <w:tc>
          <w:tcPr/>
          <w:p>
            <w:pPr>
              <w:pStyle w:val="Compact"/>
            </w:pPr>
            <w:r>
              <w:t xml:space="preserve">112ms</w:t>
            </w:r>
          </w:p>
        </w:tc>
        <w:tc>
          <w:tcPr/>
          <w:p>
            <w:pPr>
              <w:pStyle w:val="Compact"/>
            </w:pPr>
            <w:r>
              <w:t xml:space="preserve">95%</w:t>
            </w:r>
          </w:p>
        </w:tc>
        <w:tc>
          <w:tcPr/>
          <w:p>
            <w:pPr>
              <w:pStyle w:val="Compact"/>
            </w:pPr>
            <w:r>
              <w:t xml:space="preserve">✓ Within acceptable range</w:t>
            </w:r>
          </w:p>
        </w:tc>
      </w:tr>
      <w:tr>
        <w:tc>
          <w:tcPr/>
          <w:p>
            <w:pPr>
              <w:pStyle w:val="Compact"/>
            </w:pPr>
            <w:r>
              <w:t xml:space="preserve">Correlation Symmetry</w:t>
            </w:r>
          </w:p>
        </w:tc>
        <w:tc>
          <w:tcPr/>
          <w:p>
            <w:pPr>
              <w:pStyle w:val="Compact"/>
            </w:pPr>
            <w:r>
              <w:t xml:space="preserve">71ms</w:t>
            </w:r>
          </w:p>
        </w:tc>
        <w:tc>
          <w:tcPr/>
          <w:p>
            <w:pPr>
              <w:pStyle w:val="Compact"/>
            </w:pPr>
            <w:r>
              <w:t xml:space="preserve">96%</w:t>
            </w:r>
          </w:p>
        </w:tc>
        <w:tc>
          <w:tcPr/>
          <w:p>
            <w:pPr>
              <w:pStyle w:val="Compact"/>
            </w:pPr>
            <w:r>
              <w:t xml:space="preserve">✓ Meets target</w:t>
            </w:r>
          </w:p>
        </w:tc>
      </w:tr>
      <w:tr>
        <w:tc>
          <w:tcPr/>
          <w:p>
            <w:pPr>
              <w:pStyle w:val="Compact"/>
            </w:pPr>
            <w:r>
              <w:t xml:space="preserve">Lock-in Detection</w:t>
            </w:r>
          </w:p>
        </w:tc>
        <w:tc>
          <w:tcPr/>
          <w:p>
            <w:pPr>
              <w:pStyle w:val="Compact"/>
            </w:pPr>
            <w:r>
              <w:t xml:space="preserve">83ms</w:t>
            </w:r>
          </w:p>
        </w:tc>
        <w:tc>
          <w:tcPr/>
          <w:p>
            <w:pPr>
              <w:pStyle w:val="Compact"/>
            </w:pPr>
            <w:r>
              <w:t xml:space="preserve">94%</w:t>
            </w:r>
          </w:p>
        </w:tc>
        <w:tc>
          <w:tcPr/>
          <w:p>
            <w:pPr>
              <w:pStyle w:val="Compact"/>
            </w:pPr>
            <w:r>
              <w:t xml:space="preserve">✓ Meets target</w:t>
            </w:r>
          </w:p>
        </w:tc>
      </w:tr>
    </w:tbl>
    <w:p>
      <w:pPr>
        <w:pStyle w:val="BodyText"/>
      </w:pPr>
      <w:r>
        <w:rPr>
          <w:b/>
          <w:bCs/>
        </w:rPr>
        <w:t xml:space="preserve">Key Finding</w:t>
      </w:r>
      <w:r>
        <w:t xml:space="preserve">: 95% of verifications complete within 100ms real-time budget using property-based verification with statistical array abstraction (versus impractical value-based verification requiring hours).</w:t>
      </w:r>
    </w:p>
    <w:bookmarkEnd w:id="48"/>
    <w:bookmarkStart w:id="49" w:name="scalability-validation"/>
    <w:p>
      <w:pPr>
        <w:pStyle w:val="Heading4"/>
      </w:pPr>
      <w:r>
        <w:rPr>
          <w:rStyle w:val="SectionNumber"/>
        </w:rPr>
        <w:t xml:space="preserve">1.6.2.2</w:t>
      </w:r>
      <w:r>
        <w:tab/>
      </w:r>
      <w:r>
        <w:t xml:space="preserve">Scalability Validation</w:t>
      </w:r>
    </w:p>
    <w:p>
      <w:pPr>
        <w:pStyle w:val="FirstParagraph"/>
      </w:pPr>
      <w:r>
        <w:rPr>
          <w:b/>
          <w:bCs/>
        </w:rPr>
        <w:t xml:space="preserve">Single 64-core server</w:t>
      </w:r>
      <w:r>
        <w:t xml:space="preserve">: ~512 verifications/second</w:t>
      </w:r>
      <w:r>
        <w:t xml:space="preserve"> </w:t>
      </w:r>
      <w:r>
        <w:rPr>
          <w:b/>
          <w:bCs/>
        </w:rPr>
        <w:t xml:space="preserve">3-server cluster</w:t>
      </w:r>
      <w:r>
        <w:t xml:space="preserve">: ~1,536 verifications/second</w:t>
      </w:r>
      <w:r>
        <w:t xml:space="preserve"> </w:t>
      </w:r>
      <w:r>
        <w:rPr>
          <w:b/>
          <w:bCs/>
        </w:rPr>
        <w:t xml:space="preserve">Latency</w:t>
      </w:r>
      <w:r>
        <w:t xml:space="preserve">: &lt;100ms for 95% of requests across 1-100+ instruments</w:t>
      </w:r>
    </w:p>
    <w:p>
      <w:pPr>
        <w:pStyle w:val="BodyText"/>
      </w:pPr>
      <w:r>
        <w:rPr>
          <w:b/>
          <w:bCs/>
        </w:rPr>
        <w:t xml:space="preserve">Cost-Effectiveness</w:t>
      </w:r>
      <w:r>
        <w:t xml:space="preserve">: Cluster deployment saves 17% TCO versus standalone for 20 instruments ($290K versus $350K over 5 years); savings increase with scale.</w:t>
      </w:r>
    </w:p>
    <w:bookmarkEnd w:id="49"/>
    <w:bookmarkStart w:id="50" w:name="integration-feasibility"/>
    <w:p>
      <w:pPr>
        <w:pStyle w:val="Heading4"/>
      </w:pPr>
      <w:r>
        <w:rPr>
          <w:rStyle w:val="SectionNumber"/>
        </w:rPr>
        <w:t xml:space="preserve">1.6.2.3</w:t>
      </w:r>
      <w:r>
        <w:tab/>
      </w:r>
      <w:r>
        <w:t xml:space="preserve">Integration Feasibility</w:t>
      </w:r>
    </w:p>
    <w:p>
      <w:pPr>
        <w:pStyle w:val="FirstParagraph"/>
      </w:pPr>
      <w:r>
        <w:rPr>
          <w:b/>
          <w:bCs/>
        </w:rPr>
        <w:t xml:space="preserve">SRS srsgui Framework Integration</w:t>
      </w:r>
      <w:r>
        <w:t xml:space="preserve">: Non-invasive plugin architecture demonstrated through:</w:t>
      </w:r>
      <w:r>
        <w:t xml:space="preserve"> </w:t>
      </w:r>
      <w:r>
        <w:t xml:space="preserve">- VerifiedTask base class extends srsgui.Task (conceptual implementation validated)</w:t>
      </w:r>
      <w:r>
        <w:t xml:space="preserve"> </w:t>
      </w:r>
      <w:r>
        <w:t xml:space="preserve">- Component interception pattern for transparent verification</w:t>
      </w:r>
      <w:r>
        <w:t xml:space="preserve"> </w:t>
      </w:r>
      <w:r>
        <w:t xml:space="preserve">- Configuration-driven verification policies</w:t>
      </w:r>
      <w:r>
        <w:t xml:space="preserve"> </w:t>
      </w:r>
      <w:r>
        <w:t xml:space="preserve">- Backward compatibility maintained (existing code continues working)</w:t>
      </w:r>
    </w:p>
    <w:p>
      <w:pPr>
        <w:pStyle w:val="BodyText"/>
      </w:pPr>
      <w:r>
        <w:rPr>
          <w:b/>
          <w:bCs/>
        </w:rPr>
        <w:t xml:space="preserve">Python Driver Ecosystem</w:t>
      </w:r>
      <w:r>
        <w:t xml:space="preserve">: Integration patterns defined for PyMeasure, QCoDeS, and standalone API with version abstraction layer managing compatibility.</w:t>
      </w:r>
    </w:p>
    <w:bookmarkEnd w:id="50"/>
    <w:bookmarkEnd w:id="51"/>
    <w:bookmarkStart w:id="52" w:name="architecture-strengths"/>
    <w:p>
      <w:pPr>
        <w:pStyle w:val="Heading3"/>
      </w:pPr>
      <w:r>
        <w:rPr>
          <w:rStyle w:val="SectionNumber"/>
        </w:rPr>
        <w:t xml:space="preserve">1.6.3</w:t>
      </w:r>
      <w:r>
        <w:tab/>
      </w:r>
      <w:r>
        <w:t xml:space="preserve">Architecture Strengths</w:t>
      </w:r>
    </w:p>
    <w:p>
      <w:pPr>
        <w:pStyle w:val="Compact"/>
        <w:numPr>
          <w:ilvl w:val="0"/>
          <w:numId w:val="1010"/>
        </w:numPr>
      </w:pPr>
      <w:r>
        <w:rPr>
          <w:b/>
          <w:bCs/>
        </w:rPr>
        <w:t xml:space="preserve">Proven Technologies</w:t>
      </w:r>
      <w:r>
        <w:t xml:space="preserve">: Built on mature, production-ready components (Z3 solver 15+ years development, NumPy/SciPy industry-standard, Qt framework used by SRS)</w:t>
      </w:r>
    </w:p>
    <w:p>
      <w:pPr>
        <w:pStyle w:val="Compact"/>
        <w:numPr>
          <w:ilvl w:val="0"/>
          <w:numId w:val="1010"/>
        </w:numPr>
      </w:pPr>
      <w:r>
        <w:rPr>
          <w:b/>
          <w:bCs/>
        </w:rPr>
        <w:t xml:space="preserve">Performance Validated</w:t>
      </w:r>
      <w:r>
        <w:t xml:space="preserve">: Benchmark results demonstrate &lt;100ms verification for 95% of operations</w:t>
      </w:r>
    </w:p>
    <w:p>
      <w:pPr>
        <w:pStyle w:val="Compact"/>
        <w:numPr>
          <w:ilvl w:val="0"/>
          <w:numId w:val="1010"/>
        </w:numPr>
      </w:pPr>
      <w:r>
        <w:rPr>
          <w:b/>
          <w:bCs/>
        </w:rPr>
        <w:t xml:space="preserve">Regulatory Alignment</w:t>
      </w:r>
      <w:r>
        <w:t xml:space="preserve">: Architecture supports FDA 21 CFR Part 11 (audit trail, electronic signatures), ISO/IEC 17025 (method validation), data sovereignty (edge-primary)</w:t>
      </w:r>
    </w:p>
    <w:p>
      <w:pPr>
        <w:pStyle w:val="Compact"/>
        <w:numPr>
          <w:ilvl w:val="0"/>
          <w:numId w:val="1010"/>
        </w:numPr>
      </w:pPr>
      <w:r>
        <w:rPr>
          <w:b/>
          <w:bCs/>
        </w:rPr>
        <w:t xml:space="preserve">Scalability Demonstrated</w:t>
      </w:r>
      <w:r>
        <w:t xml:space="preserve">: Architecture scales 1 instrument → 100+ instruments maintaining performance through caching, load balancing, distributed architecture</w:t>
      </w:r>
    </w:p>
    <w:bookmarkEnd w:id="52"/>
    <w:bookmarkStart w:id="53" w:name="technical-risks-and-mitigations"/>
    <w:p>
      <w:pPr>
        <w:pStyle w:val="Heading3"/>
      </w:pPr>
      <w:r>
        <w:rPr>
          <w:rStyle w:val="SectionNumber"/>
        </w:rPr>
        <w:t xml:space="preserve">1.6.4</w:t>
      </w:r>
      <w:r>
        <w:tab/>
      </w:r>
      <w:r>
        <w:t xml:space="preserve">Technical Risks and Mitigations</w:t>
      </w:r>
    </w:p>
    <w:p>
      <w:pPr>
        <w:pStyle w:val="FirstParagraph"/>
      </w:pPr>
      <w:r>
        <w:rPr>
          <w:b/>
          <w:bCs/>
        </w:rPr>
        <w:t xml:space="preserve">Risk 1: SMT Solver Performance Variability</w:t>
      </w:r>
      <w:r>
        <w:t xml:space="preserve"> </w:t>
      </w:r>
      <w:r>
        <w:t xml:space="preserve">-</w:t>
      </w:r>
      <w:r>
        <w:t xml:space="preserve"> </w:t>
      </w:r>
      <w:r>
        <w:rPr>
          <w:b/>
          <w:bCs/>
        </w:rPr>
        <w:t xml:space="preserve">Mitigation</w:t>
      </w:r>
      <w:r>
        <w:t xml:space="preserve">: Adaptive verification with timeout management; portfolio approach (multiple solvers); heuristic verification fallback (80% confidence in &lt;10ms when solvers timeout)</w:t>
      </w:r>
    </w:p>
    <w:p>
      <w:pPr>
        <w:pStyle w:val="BodyText"/>
      </w:pPr>
      <w:r>
        <w:rPr>
          <w:b/>
          <w:bCs/>
        </w:rPr>
        <w:t xml:space="preserve">Risk 2: Integration Complexity with SRS Workflows</w:t>
      </w:r>
      <w:r>
        <w:t xml:space="preserve"> </w:t>
      </w:r>
      <w:r>
        <w:t xml:space="preserve">-</w:t>
      </w:r>
      <w:r>
        <w:t xml:space="preserve"> </w:t>
      </w:r>
      <w:r>
        <w:rPr>
          <w:b/>
          <w:bCs/>
        </w:rPr>
        <w:t xml:space="preserve">Mitigation</w:t>
      </w:r>
      <w:r>
        <w:t xml:space="preserve">: Plugin architecture minimizes code changes; backward compatibility guarantees; comprehensive integration tests with actual SRS instrument drivers</w:t>
      </w:r>
    </w:p>
    <w:p>
      <w:pPr>
        <w:pStyle w:val="BodyText"/>
      </w:pPr>
      <w:r>
        <w:rPr>
          <w:b/>
          <w:bCs/>
        </w:rPr>
        <w:t xml:space="preserve">Risk 3: User Adoption (formal verification unfamiliar)</w:t>
      </w:r>
      <w:r>
        <w:t xml:space="preserve"> </w:t>
      </w:r>
      <w:r>
        <w:t xml:space="preserve">-</w:t>
      </w:r>
      <w:r>
        <w:t xml:space="preserve"> </w:t>
      </w:r>
      <w:r>
        <w:rPr>
          <w:b/>
          <w:bCs/>
        </w:rPr>
        <w:t xml:space="preserve">Mitigation</w:t>
      </w:r>
      <w:r>
        <w:t xml:space="preserve">: Natural language explanations; progressive disclosure UI; training materials; dedicated customer success team</w:t>
      </w:r>
    </w:p>
    <w:p>
      <w:pPr>
        <w:pStyle w:val="BodyText"/>
      </w:pPr>
      <w:r>
        <w:rPr>
          <w:b/>
          <w:bCs/>
        </w:rPr>
        <w:t xml:space="preserve">Risk 4: Cost Barriers for Small Laboratories</w:t>
      </w:r>
      <w:r>
        <w:t xml:space="preserve"> </w:t>
      </w:r>
      <w:r>
        <w:t xml:space="preserve">-</w:t>
      </w:r>
      <w:r>
        <w:t xml:space="preserve"> </w:t>
      </w:r>
      <w:r>
        <w:rPr>
          <w:b/>
          <w:bCs/>
        </w:rPr>
        <w:t xml:space="preserve">Mitigation</w:t>
      </w:r>
      <w:r>
        <w:t xml:space="preserve">: Tiered pricing (single-seat licenses for small labs); cloud-based offering for cost-sensitive customers; academic pricing ($10K-25K/year)</w:t>
      </w:r>
    </w:p>
    <w:p>
      <w:r>
        <w:pict>
          <v:rect style="width:0;height:1.5pt" o:hralign="center" o:hrstd="t" o:hr="t"/>
        </w:pict>
      </w:r>
    </w:p>
    <w:bookmarkEnd w:id="53"/>
    <w:bookmarkEnd w:id="54"/>
    <w:bookmarkStart w:id="65" w:name="regulatory-compliance-strategy"/>
    <w:p>
      <w:pPr>
        <w:pStyle w:val="Heading2"/>
      </w:pPr>
      <w:r>
        <w:rPr>
          <w:rStyle w:val="SectionNumber"/>
        </w:rPr>
        <w:t xml:space="preserve">1.7</w:t>
      </w:r>
      <w:r>
        <w:tab/>
      </w:r>
      <w:r>
        <w:t xml:space="preserve">Regulatory &amp; Compliance Strategy</w:t>
      </w:r>
    </w:p>
    <w:bookmarkStart w:id="55" w:name="certification-pathway-overview"/>
    <w:p>
      <w:pPr>
        <w:pStyle w:val="Heading3"/>
      </w:pPr>
      <w:r>
        <w:rPr>
          <w:rStyle w:val="SectionNumber"/>
        </w:rPr>
        <w:t xml:space="preserve">1.7.1</w:t>
      </w:r>
      <w:r>
        <w:tab/>
      </w:r>
      <w:r>
        <w:t xml:space="preserve">Certification Pathway Overview</w:t>
      </w:r>
    </w:p>
    <w:p>
      <w:pPr>
        <w:pStyle w:val="FirstParagraph"/>
      </w:pPr>
      <w:r>
        <w:rPr>
          <w:b/>
          <w:bCs/>
        </w:rPr>
        <w:t xml:space="preserve">Phased Approach</w:t>
      </w:r>
      <w:r>
        <w:t xml:space="preserve">: Three-phase certification strategy balancing investment, market access, and risk:</w:t>
      </w:r>
    </w:p>
    <w:p>
      <w:pPr>
        <w:pStyle w:val="SourceCode"/>
      </w:pPr>
      <w:r>
        <w:rPr>
          <w:rStyle w:val="VerbatimChar"/>
        </w:rPr>
        <w:t xml:space="preserve">gantt</w:t>
      </w:r>
      <w:r>
        <w:br/>
      </w:r>
      <w:r>
        <w:rPr>
          <w:rStyle w:val="VerbatimChar"/>
        </w:rPr>
        <w:t xml:space="preserve">    title Certification Pathway Timeline</w:t>
      </w:r>
      <w:r>
        <w:br/>
      </w:r>
      <w:r>
        <w:rPr>
          <w:rStyle w:val="VerbatimChar"/>
        </w:rPr>
        <w:t xml:space="preserve">    dateFormat YYYY-MM</w:t>
      </w:r>
      <w:r>
        <w:br/>
      </w:r>
      <w:r>
        <w:rPr>
          <w:rStyle w:val="VerbatimChar"/>
        </w:rPr>
        <w:t xml:space="preserve">    section Phase 1: Foundation</w:t>
      </w:r>
      <w:r>
        <w:br/>
      </w:r>
      <w:r>
        <w:rPr>
          <w:rStyle w:val="VerbatimChar"/>
        </w:rPr>
        <w:t xml:space="preserve">    ISO 17025 Validation Package    :p1a, 2026-01, 15M</w:t>
      </w:r>
      <w:r>
        <w:br/>
      </w:r>
      <w:r>
        <w:rPr>
          <w:rStyle w:val="VerbatimChar"/>
        </w:rPr>
        <w:t xml:space="preserve">    FDA 21 CFR Part 11 Compliance    :p1b, 2026-01, 12M</w:t>
      </w:r>
      <w:r>
        <w:br/>
      </w:r>
      <w:r>
        <w:rPr>
          <w:rStyle w:val="VerbatimChar"/>
        </w:rPr>
        <w:t xml:space="preserve">    ISO 13485 QMS Implementation     :p1c, 2026-01, 14M</w:t>
      </w:r>
      <w:r>
        <w:br/>
      </w:r>
      <w:r>
        <w:br/>
      </w:r>
      <w:r>
        <w:rPr>
          <w:rStyle w:val="VerbatimChar"/>
        </w:rPr>
        <w:t xml:space="preserve">    section Phase 2: Medical Device</w:t>
      </w:r>
      <w:r>
        <w:br/>
      </w:r>
      <w:r>
        <w:rPr>
          <w:rStyle w:val="VerbatimChar"/>
        </w:rPr>
        <w:t xml:space="preserve">    FDA 510(k) Premarket Notification :p2a, 2027-06, 18M</w:t>
      </w:r>
      <w:r>
        <w:br/>
      </w:r>
      <w:r>
        <w:rPr>
          <w:rStyle w:val="VerbatimChar"/>
        </w:rPr>
        <w:t xml:space="preserve">    EU MDR CE Marking                 :p2b, 2027-06, 12M</w:t>
      </w:r>
      <w:r>
        <w:br/>
      </w:r>
      <w:r>
        <w:br/>
      </w:r>
      <w:r>
        <w:rPr>
          <w:rStyle w:val="VerbatimChar"/>
        </w:rPr>
        <w:t xml:space="preserve">    section Phase 3: Specialized</w:t>
      </w:r>
      <w:r>
        <w:br/>
      </w:r>
      <w:r>
        <w:rPr>
          <w:rStyle w:val="VerbatimChar"/>
        </w:rPr>
        <w:t xml:space="preserve">    AS9100 Aerospace (Optional)       :p3a, 2029-01, 12M</w:t>
      </w:r>
    </w:p>
    <w:p>
      <w:pPr>
        <w:pStyle w:val="FirstParagraph"/>
      </w:pPr>
      <w:r>
        <w:rPr>
          <w:b/>
          <w:bCs/>
        </w:rPr>
        <w:t xml:space="preserve">Investment Summary</w:t>
      </w:r>
      <w:r>
        <w:t xml:space="preserve">:</w:t>
      </w:r>
      <w:r>
        <w:t xml:space="preserve"> </w:t>
      </w:r>
      <w:r>
        <w:t xml:space="preserve">- Phase 1 (Foundation): $1.2M over 18 months → Opens pharmaceutical and laboratory testing markets (~$14M addressable)</w:t>
      </w:r>
      <w:r>
        <w:t xml:space="preserve"> </w:t>
      </w:r>
      <w:r>
        <w:t xml:space="preserve">- Phase 2 (Medical Device): $1.4M over 24 months → Opens medical device testing and IVD markets (~$10M addressable)</w:t>
      </w:r>
      <w:r>
        <w:t xml:space="preserve"> </w:t>
      </w:r>
      <w:r>
        <w:t xml:space="preserve">- Phase 3 (Specialized): $400K+ as needed → Aerospace and specialized markets</w:t>
      </w:r>
    </w:p>
    <w:p>
      <w:pPr>
        <w:pStyle w:val="BodyText"/>
      </w:pPr>
      <w:r>
        <w:rPr>
          <w:b/>
          <w:bCs/>
        </w:rPr>
        <w:t xml:space="preserve">Total Investment</w:t>
      </w:r>
      <w:r>
        <w:t xml:space="preserve">: $2.6M (Phase 1+2) over 36 months</w:t>
      </w:r>
    </w:p>
    <w:bookmarkEnd w:id="55"/>
    <w:bookmarkStart w:id="59" w:name="X165a67c3719a937021a1347506fabc9d6e9d0b3"/>
    <w:p>
      <w:pPr>
        <w:pStyle w:val="Heading3"/>
      </w:pPr>
      <w:r>
        <w:rPr>
          <w:rStyle w:val="SectionNumber"/>
        </w:rPr>
        <w:t xml:space="preserve">1.7.2</w:t>
      </w:r>
      <w:r>
        <w:tab/>
      </w:r>
      <w:r>
        <w:t xml:space="preserve">Phase 1: Foundation Certifications (Months 1-18, $1.2M)</w:t>
      </w:r>
    </w:p>
    <w:bookmarkStart w:id="56" w:name="Xac533d5e43274ac196e5dc0db9bef2bb0e713a0"/>
    <w:p>
      <w:pPr>
        <w:pStyle w:val="Heading4"/>
      </w:pPr>
      <w:r>
        <w:rPr>
          <w:rStyle w:val="SectionNumber"/>
        </w:rPr>
        <w:t xml:space="preserve">1.7.2.1</w:t>
      </w:r>
      <w:r>
        <w:tab/>
      </w:r>
      <w:r>
        <w:t xml:space="preserve">ISO/IEC 17025 Laboratory Accreditation Support</w:t>
      </w:r>
    </w:p>
    <w:p>
      <w:pPr>
        <w:pStyle w:val="FirstParagraph"/>
      </w:pPr>
      <w:r>
        <w:rPr>
          <w:b/>
          <w:bCs/>
        </w:rPr>
        <w:t xml:space="preserve">Target Market</w:t>
      </w:r>
      <w:r>
        <w:t xml:space="preserve">: 60,000 ISO 17025 accredited laboratories globally; 5,000-8,000 using SRS instruments</w:t>
      </w:r>
    </w:p>
    <w:p>
      <w:pPr>
        <w:pStyle w:val="BodyText"/>
      </w:pPr>
      <w:r>
        <w:rPr>
          <w:b/>
          <w:bCs/>
        </w:rPr>
        <w:t xml:space="preserve">Key Requirements</w:t>
      </w:r>
      <w:r>
        <w:t xml:space="preserve">:</w:t>
      </w:r>
      <w:r>
        <w:t xml:space="preserve"> </w:t>
      </w:r>
      <w:r>
        <w:t xml:space="preserve">-</w:t>
      </w:r>
      <w:r>
        <w:t xml:space="preserve"> </w:t>
      </w:r>
      <w:r>
        <w:rPr>
          <w:b/>
          <w:bCs/>
        </w:rPr>
        <w:t xml:space="preserve">Software validation (Clause 6.4.13)</w:t>
      </w:r>
      <w:r>
        <w:t xml:space="preserve">: Commercial off-the-shelf software used within intended range can be considered validated; configuration management required</w:t>
      </w:r>
      <w:r>
        <w:t xml:space="preserve"> </w:t>
      </w:r>
      <w:r>
        <w:t xml:space="preserve">-</w:t>
      </w:r>
      <w:r>
        <w:t xml:space="preserve"> </w:t>
      </w:r>
      <w:r>
        <w:rPr>
          <w:b/>
          <w:bCs/>
        </w:rPr>
        <w:t xml:space="preserve">Method validation (Clause 7.2.2)</w:t>
      </w:r>
      <w:r>
        <w:t xml:space="preserve">: Non-standard methods (AI algorithms) require comprehensive validation demonstrating accuracy, precision, specificity, range, robustness</w:t>
      </w:r>
      <w:r>
        <w:t xml:space="preserve"> </w:t>
      </w:r>
      <w:r>
        <w:t xml:space="preserve">-</w:t>
      </w:r>
      <w:r>
        <w:t xml:space="preserve"> </w:t>
      </w:r>
      <w:r>
        <w:rPr>
          <w:b/>
          <w:bCs/>
        </w:rPr>
        <w:t xml:space="preserve">Measurement uncertainty (Clause 7.6)</w:t>
      </w:r>
      <w:r>
        <w:t xml:space="preserve">: All results must include uncertainty evaluation</w:t>
      </w:r>
    </w:p>
    <w:p>
      <w:pPr>
        <w:pStyle w:val="BodyText"/>
      </w:pPr>
      <w:r>
        <w:rPr>
          <w:b/>
          <w:bCs/>
        </w:rPr>
        <w:t xml:space="preserve">Hupyy Advantage</w:t>
      </w:r>
      <w:r>
        <w:t xml:space="preserve">: Formal verification reduces computational uncertainty component by 5× (from ±0.5% to ±0.01%), enabling total measurement uncertainty reduction of 15-20% versus traditional software.</w:t>
      </w:r>
    </w:p>
    <w:p>
      <w:pPr>
        <w:pStyle w:val="BodyText"/>
      </w:pPr>
      <w:r>
        <w:rPr>
          <w:b/>
          <w:bCs/>
        </w:rPr>
        <w:t xml:space="preserve">Deliverable</w:t>
      </w:r>
      <w:r>
        <w:t xml:space="preserve">: Comprehensive validation package (IQ/OQ/PQ templates, pre-executed validation reports, uncertainty budgets) reducing customer validation burden from 7-10 months to 2-4 months.</w:t>
      </w:r>
    </w:p>
    <w:p>
      <w:pPr>
        <w:pStyle w:val="BodyText"/>
      </w:pPr>
      <w:r>
        <w:rPr>
          <w:b/>
          <w:bCs/>
        </w:rPr>
        <w:t xml:space="preserve">Revenue Opportunity</w:t>
      </w:r>
      <w:r>
        <w:t xml:space="preserve">: $3.75M-$12M at $15K per license (250-800 laboratories over 5 years).</w:t>
      </w:r>
    </w:p>
    <w:bookmarkEnd w:id="56"/>
    <w:bookmarkStart w:id="57" w:name="fda-21-cfr-part-11-compliance"/>
    <w:p>
      <w:pPr>
        <w:pStyle w:val="Heading4"/>
      </w:pPr>
      <w:r>
        <w:rPr>
          <w:rStyle w:val="SectionNumber"/>
        </w:rPr>
        <w:t xml:space="preserve">1.7.2.2</w:t>
      </w:r>
      <w:r>
        <w:tab/>
      </w:r>
      <w:r>
        <w:t xml:space="preserve">FDA 21 CFR Part 11 Compliance</w:t>
      </w:r>
    </w:p>
    <w:p>
      <w:pPr>
        <w:pStyle w:val="FirstParagraph"/>
      </w:pPr>
      <w:r>
        <w:rPr>
          <w:b/>
          <w:bCs/>
        </w:rPr>
        <w:t xml:space="preserve">Target Market</w:t>
      </w:r>
      <w:r>
        <w:t xml:space="preserve">: Pharmaceutical and biotech laboratories requiring electronic records and signatures</w:t>
      </w:r>
    </w:p>
    <w:p>
      <w:pPr>
        <w:pStyle w:val="BodyText"/>
      </w:pPr>
      <w:r>
        <w:rPr>
          <w:b/>
          <w:bCs/>
        </w:rPr>
        <w:t xml:space="preserve">Key Requirements</w:t>
      </w:r>
      <w:r>
        <w:t xml:space="preserve">:</w:t>
      </w:r>
      <w:r>
        <w:t xml:space="preserve"> </w:t>
      </w:r>
      <w:r>
        <w:t xml:space="preserve">-</w:t>
      </w:r>
      <w:r>
        <w:t xml:space="preserve"> </w:t>
      </w:r>
      <w:r>
        <w:rPr>
          <w:b/>
          <w:bCs/>
        </w:rPr>
        <w:t xml:space="preserve">Audit trails</w:t>
      </w:r>
      <w:r>
        <w:t xml:space="preserve">: Comprehensive, immutable logging of all data operations with cryptographic integrity protection</w:t>
      </w:r>
      <w:r>
        <w:t xml:space="preserve"> </w:t>
      </w:r>
      <w:r>
        <w:t xml:space="preserve">-</w:t>
      </w:r>
      <w:r>
        <w:t xml:space="preserve"> </w:t>
      </w:r>
      <w:r>
        <w:rPr>
          <w:b/>
          <w:bCs/>
        </w:rPr>
        <w:t xml:space="preserve">Electronic signatures</w:t>
      </w:r>
      <w:r>
        <w:t xml:space="preserve">: Unique user identification, password controls, signature-record binding, signature manifestation</w:t>
      </w:r>
      <w:r>
        <w:t xml:space="preserve"> </w:t>
      </w:r>
      <w:r>
        <w:t xml:space="preserve">-</w:t>
      </w:r>
      <w:r>
        <w:t xml:space="preserve"> </w:t>
      </w:r>
      <w:r>
        <w:rPr>
          <w:b/>
          <w:bCs/>
        </w:rPr>
        <w:t xml:space="preserve">Validation</w:t>
      </w:r>
      <w:r>
        <w:t xml:space="preserve">: IQ/OQ/PQ per GAMP 5 methodology</w:t>
      </w:r>
      <w:r>
        <w:t xml:space="preserve"> </w:t>
      </w:r>
      <w:r>
        <w:t xml:space="preserve">-</w:t>
      </w:r>
      <w:r>
        <w:t xml:space="preserve"> </w:t>
      </w:r>
      <w:r>
        <w:rPr>
          <w:b/>
          <w:bCs/>
        </w:rPr>
        <w:t xml:space="preserve">Data integrity</w:t>
      </w:r>
      <w:r>
        <w:t xml:space="preserve">: ALCOA+ principles (Attributable, Legible, Contemporaneous, Original, Accurate, Complete, Consistent, Enduring, Available)</w:t>
      </w:r>
    </w:p>
    <w:p>
      <w:pPr>
        <w:pStyle w:val="BodyText"/>
      </w:pPr>
      <w:r>
        <w:rPr>
          <w:b/>
          <w:bCs/>
        </w:rPr>
        <w:t xml:space="preserve">Implementation Approach</w:t>
      </w:r>
      <w:r>
        <w:t xml:space="preserve">:</w:t>
      </w:r>
      <w:r>
        <w:t xml:space="preserve"> </w:t>
      </w:r>
      <w:r>
        <w:t xml:space="preserve">- Audit trail module: Automated logging with hash chain integrity</w:t>
      </w:r>
      <w:r>
        <w:t xml:space="preserve"> </w:t>
      </w:r>
      <w:r>
        <w:t xml:space="preserve">- Electronic signature module: Username + password (most common, least expensive); biometric and PKI options available</w:t>
      </w:r>
      <w:r>
        <w:t xml:space="preserve"> </w:t>
      </w:r>
      <w:r>
        <w:t xml:space="preserve">- Validation templates: Pre-validated IQ/OQ/PQ documentation reducing customer effort from 6-12 months to 6-8 weeks</w:t>
      </w:r>
    </w:p>
    <w:p>
      <w:pPr>
        <w:pStyle w:val="BodyText"/>
      </w:pPr>
      <w:r>
        <w:rPr>
          <w:b/>
          <w:bCs/>
        </w:rPr>
        <w:t xml:space="preserve">Formal Verification Competitive Advantage</w:t>
      </w:r>
      <w:r>
        <w:t xml:space="preserve">: Traditional validation provides statistical confidence from testing; formal verification provides mathematical proof of algorithm correctness—superior regulatory evidence.</w:t>
      </w:r>
    </w:p>
    <w:p>
      <w:pPr>
        <w:pStyle w:val="BodyText"/>
      </w:pPr>
      <w:r>
        <w:rPr>
          <w:b/>
          <w:bCs/>
        </w:rPr>
        <w:t xml:space="preserve">Implementation Cost</w:t>
      </w:r>
      <w:r>
        <w:t xml:space="preserve">: $350K-$890K (one-time) + $50K-$120K (annual maintenance)</w:t>
      </w:r>
      <w:r>
        <w:t xml:space="preserve"> </w:t>
      </w:r>
      <w:r>
        <w:rPr>
          <w:b/>
          <w:bCs/>
        </w:rPr>
        <w:t xml:space="preserve">Timeline</w:t>
      </w:r>
      <w:r>
        <w:t xml:space="preserve">: 8-12 months from planning to production release</w:t>
      </w:r>
    </w:p>
    <w:bookmarkEnd w:id="57"/>
    <w:bookmarkStart w:id="58" w:name="iso-13485-quality-management-system"/>
    <w:p>
      <w:pPr>
        <w:pStyle w:val="Heading4"/>
      </w:pPr>
      <w:r>
        <w:rPr>
          <w:rStyle w:val="SectionNumber"/>
        </w:rPr>
        <w:t xml:space="preserve">1.7.2.3</w:t>
      </w:r>
      <w:r>
        <w:tab/>
      </w:r>
      <w:r>
        <w:t xml:space="preserve">ISO 13485 Quality Management System</w:t>
      </w:r>
    </w:p>
    <w:p>
      <w:pPr>
        <w:pStyle w:val="FirstParagraph"/>
      </w:pPr>
      <w:r>
        <w:rPr>
          <w:b/>
          <w:bCs/>
        </w:rPr>
        <w:t xml:space="preserve">Purpose</w:t>
      </w:r>
      <w:r>
        <w:t xml:space="preserve">: Foundation for all medical device certifications; demonstrates quality management processes</w:t>
      </w:r>
    </w:p>
    <w:p>
      <w:pPr>
        <w:pStyle w:val="BodyText"/>
      </w:pPr>
      <w:r>
        <w:rPr>
          <w:b/>
          <w:bCs/>
        </w:rPr>
        <w:t xml:space="preserve">Key Processes</w:t>
      </w:r>
      <w:r>
        <w:t xml:space="preserve">:</w:t>
      </w:r>
      <w:r>
        <w:t xml:space="preserve"> </w:t>
      </w:r>
      <w:r>
        <w:t xml:space="preserve">- Document management system</w:t>
      </w:r>
      <w:r>
        <w:t xml:space="preserve"> </w:t>
      </w:r>
      <w:r>
        <w:t xml:space="preserve">- Design control process (per IEC 62304)</w:t>
      </w:r>
      <w:r>
        <w:t xml:space="preserve"> </w:t>
      </w:r>
      <w:r>
        <w:t xml:space="preserve">- Change control and CAPA (Corrective and Preventive Action)</w:t>
      </w:r>
      <w:r>
        <w:t xml:space="preserve"> </w:t>
      </w:r>
      <w:r>
        <w:t xml:space="preserve">- Supplier management (for SOUP - Software of Unknown Provenance)</w:t>
      </w:r>
      <w:r>
        <w:t xml:space="preserve"> </w:t>
      </w:r>
      <w:r>
        <w:t xml:space="preserve">- Internal audit program</w:t>
      </w:r>
      <w:r>
        <w:t xml:space="preserve"> </w:t>
      </w:r>
      <w:r>
        <w:t xml:space="preserve">- Management review</w:t>
      </w:r>
    </w:p>
    <w:p>
      <w:pPr>
        <w:pStyle w:val="BodyText"/>
      </w:pPr>
      <w:r>
        <w:rPr>
          <w:b/>
          <w:bCs/>
        </w:rPr>
        <w:t xml:space="preserve">Investment</w:t>
      </w:r>
      <w:r>
        <w:t xml:space="preserve">: $380K (implementation) + $60K annually (maintenance)</w:t>
      </w:r>
      <w:r>
        <w:t xml:space="preserve"> </w:t>
      </w:r>
      <w:r>
        <w:rPr>
          <w:b/>
          <w:bCs/>
        </w:rPr>
        <w:t xml:space="preserve">Timeline</w:t>
      </w:r>
      <w:r>
        <w:t xml:space="preserve">: 14-18 months to certification</w:t>
      </w:r>
    </w:p>
    <w:p>
      <w:pPr>
        <w:pStyle w:val="BodyText"/>
      </w:pPr>
      <w:r>
        <w:rPr>
          <w:b/>
          <w:bCs/>
        </w:rPr>
        <w:t xml:space="preserve">Strategic Value</w:t>
      </w:r>
      <w:r>
        <w:t xml:space="preserve">: Underpins Phase 2 medical device certifications; demonstrates commitment to quality.</w:t>
      </w:r>
    </w:p>
    <w:bookmarkEnd w:id="58"/>
    <w:bookmarkEnd w:id="59"/>
    <w:bookmarkStart w:id="62" w:name="Xee11e9f3ffa0b03858de592b7883a4a76b37989"/>
    <w:p>
      <w:pPr>
        <w:pStyle w:val="Heading3"/>
      </w:pPr>
      <w:r>
        <w:rPr>
          <w:rStyle w:val="SectionNumber"/>
        </w:rPr>
        <w:t xml:space="preserve">1.7.3</w:t>
      </w:r>
      <w:r>
        <w:tab/>
      </w:r>
      <w:r>
        <w:t xml:space="preserve">Phase 2: Medical Device Certifications (Months 18-36, $1.4M)</w:t>
      </w:r>
    </w:p>
    <w:bookmarkStart w:id="60" w:name="fda-510k-premarket-notification"/>
    <w:p>
      <w:pPr>
        <w:pStyle w:val="Heading4"/>
      </w:pPr>
      <w:r>
        <w:rPr>
          <w:rStyle w:val="SectionNumber"/>
        </w:rPr>
        <w:t xml:space="preserve">1.7.3.1</w:t>
      </w:r>
      <w:r>
        <w:tab/>
      </w:r>
      <w:r>
        <w:t xml:space="preserve">FDA 510(k) Premarket Notification</w:t>
      </w:r>
    </w:p>
    <w:p>
      <w:pPr>
        <w:pStyle w:val="FirstParagraph"/>
      </w:pPr>
      <w:r>
        <w:rPr>
          <w:b/>
          <w:bCs/>
        </w:rPr>
        <w:t xml:space="preserve">Pathway</w:t>
      </w:r>
      <w:r>
        <w:t xml:space="preserve">: 510(k) Premarket Notification for Class II medical device software</w:t>
      </w:r>
    </w:p>
    <w:p>
      <w:pPr>
        <w:pStyle w:val="BodyText"/>
      </w:pPr>
      <w:r>
        <w:rPr>
          <w:b/>
          <w:bCs/>
        </w:rPr>
        <w:t xml:space="preserve">Strategy</w:t>
      </w:r>
      <w:r>
        <w:t xml:space="preserve">:</w:t>
      </w:r>
      <w:r>
        <w:t xml:space="preserve"> </w:t>
      </w:r>
      <w:r>
        <w:t xml:space="preserve">-</w:t>
      </w:r>
      <w:r>
        <w:t xml:space="preserve"> </w:t>
      </w:r>
      <w:r>
        <w:rPr>
          <w:b/>
          <w:bCs/>
        </w:rPr>
        <w:t xml:space="preserve">Predicate device</w:t>
      </w:r>
      <w:r>
        <w:t xml:space="preserve">: Existing cleared laboratory analytical software</w:t>
      </w:r>
      <w:r>
        <w:t xml:space="preserve"> </w:t>
      </w:r>
      <w:r>
        <w:t xml:space="preserve">-</w:t>
      </w:r>
      <w:r>
        <w:t xml:space="preserve"> </w:t>
      </w:r>
      <w:r>
        <w:rPr>
          <w:b/>
          <w:bCs/>
        </w:rPr>
        <w:t xml:space="preserve">Substantial equivalence argument</w:t>
      </w:r>
      <w:r>
        <w:t xml:space="preserve">: AI + formal verification provides equivalent/superior safety and effectiveness</w:t>
      </w:r>
      <w:r>
        <w:t xml:space="preserve"> </w:t>
      </w:r>
      <w:r>
        <w:t xml:space="preserve">-</w:t>
      </w:r>
      <w:r>
        <w:t xml:space="preserve"> </w:t>
      </w:r>
      <w:r>
        <w:rPr>
          <w:b/>
          <w:bCs/>
        </w:rPr>
        <w:t xml:space="preserve">Level of Concern</w:t>
      </w:r>
      <w:r>
        <w:t xml:space="preserve">: Moderate (software influences medical decisions but with human oversight)</w:t>
      </w:r>
    </w:p>
    <w:p>
      <w:pPr>
        <w:pStyle w:val="BodyText"/>
      </w:pPr>
      <w:r>
        <w:rPr>
          <w:b/>
          <w:bCs/>
        </w:rPr>
        <w:t xml:space="preserve">Documentation Requirements</w:t>
      </w:r>
      <w:r>
        <w:t xml:space="preserve">:</w:t>
      </w:r>
      <w:r>
        <w:t xml:space="preserve"> </w:t>
      </w:r>
      <w:r>
        <w:t xml:space="preserve">- Full IEC 62304 software lifecycle documentation (Class B/C standards)</w:t>
      </w:r>
      <w:r>
        <w:t xml:space="preserve"> </w:t>
      </w:r>
      <w:r>
        <w:t xml:space="preserve">- Cybersecurity documentation per FDA 2023 guidance</w:t>
      </w:r>
      <w:r>
        <w:t xml:space="preserve"> </w:t>
      </w:r>
      <w:r>
        <w:t xml:space="preserve">- Software validation including formal verification white paper for reviewers</w:t>
      </w:r>
      <w:r>
        <w:t xml:space="preserve"> </w:t>
      </w:r>
      <w:r>
        <w:t xml:space="preserve">- Clinical evaluation based on beta testing data and literature review</w:t>
      </w:r>
    </w:p>
    <w:p>
      <w:pPr>
        <w:pStyle w:val="BodyText"/>
      </w:pPr>
      <w:r>
        <w:rPr>
          <w:b/>
          <w:bCs/>
        </w:rPr>
        <w:t xml:space="preserve">Formal Verification Communication Strategy</w:t>
      </w:r>
      <w:r>
        <w:t xml:space="preserve">:</w:t>
      </w:r>
      <w:r>
        <w:t xml:space="preserve"> </w:t>
      </w:r>
      <w:r>
        <w:t xml:space="preserve">- White paper:</w:t>
      </w:r>
      <w:r>
        <w:t xml:space="preserve"> </w:t>
      </w:r>
      <w:r>
        <w:t xml:space="preserve">“Formal Verification for Regulatory Review”</w:t>
      </w:r>
      <w:r>
        <w:t xml:space="preserve"> </w:t>
      </w:r>
      <w:r>
        <w:t xml:space="preserve">(non-technical explanation for FDA reviewers)</w:t>
      </w:r>
      <w:r>
        <w:t xml:space="preserve"> </w:t>
      </w:r>
      <w:r>
        <w:t xml:space="preserve">- Tutorial appendix in submission</w:t>
      </w:r>
      <w:r>
        <w:t xml:space="preserve"> </w:t>
      </w:r>
      <w:r>
        <w:t xml:space="preserve">- Emphasize as</w:t>
      </w:r>
      <w:r>
        <w:t xml:space="preserve"> </w:t>
      </w:r>
      <w:r>
        <w:rPr>
          <w:b/>
          <w:bCs/>
        </w:rPr>
        <w:t xml:space="preserve">additional</w:t>
      </w:r>
      <w:r>
        <w:t xml:space="preserve"> </w:t>
      </w:r>
      <w:r>
        <w:t xml:space="preserve">assurance (not replacement for testing)</w:t>
      </w:r>
      <w:r>
        <w:t xml:space="preserve"> </w:t>
      </w:r>
      <w:r>
        <w:t xml:space="preserve">- Offer to present approach in pre-submission meeting</w:t>
      </w:r>
    </w:p>
    <w:p>
      <w:pPr>
        <w:pStyle w:val="BodyText"/>
      </w:pPr>
      <w:r>
        <w:rPr>
          <w:b/>
          <w:bCs/>
        </w:rPr>
        <w:t xml:space="preserve">Timeline</w:t>
      </w:r>
      <w:r>
        <w:t xml:space="preserve">: 18-24 months (including pre-submission meeting, submission preparation, FDA review, potential deficiency response)</w:t>
      </w:r>
      <w:r>
        <w:t xml:space="preserve"> </w:t>
      </w:r>
      <w:r>
        <w:rPr>
          <w:b/>
          <w:bCs/>
        </w:rPr>
        <w:t xml:space="preserve">Cost</w:t>
      </w:r>
      <w:r>
        <w:t xml:space="preserve">: $770K</w:t>
      </w:r>
      <w:r>
        <w:t xml:space="preserve"> </w:t>
      </w:r>
      <w:r>
        <w:rPr>
          <w:b/>
          <w:bCs/>
        </w:rPr>
        <w:t xml:space="preserve">Success Probability</w:t>
      </w:r>
      <w:r>
        <w:t xml:space="preserve">: 70-80% first submission, 90-95% with deficiency response</w:t>
      </w:r>
    </w:p>
    <w:p>
      <w:pPr>
        <w:pStyle w:val="BodyText"/>
      </w:pPr>
      <w:r>
        <w:rPr>
          <w:b/>
          <w:bCs/>
        </w:rPr>
        <w:t xml:space="preserve">Market Impact</w:t>
      </w:r>
      <w:r>
        <w:t xml:space="preserve">: FDA clearance enables medical device testing and IVD markets; strong competitive differentiation.</w:t>
      </w:r>
    </w:p>
    <w:bookmarkEnd w:id="60"/>
    <w:bookmarkStart w:id="61" w:name="eu-mdr-ce-marking"/>
    <w:p>
      <w:pPr>
        <w:pStyle w:val="Heading4"/>
      </w:pPr>
      <w:r>
        <w:rPr>
          <w:rStyle w:val="SectionNumber"/>
        </w:rPr>
        <w:t xml:space="preserve">1.7.3.2</w:t>
      </w:r>
      <w:r>
        <w:tab/>
      </w:r>
      <w:r>
        <w:t xml:space="preserve">EU MDR CE Marking</w:t>
      </w:r>
    </w:p>
    <w:p>
      <w:pPr>
        <w:pStyle w:val="FirstParagraph"/>
      </w:pPr>
      <w:r>
        <w:rPr>
          <w:b/>
          <w:bCs/>
        </w:rPr>
        <w:t xml:space="preserve">Classification</w:t>
      </w:r>
      <w:r>
        <w:t xml:space="preserve">: Class IIa (moderate risk software)</w:t>
      </w:r>
    </w:p>
    <w:p>
      <w:pPr>
        <w:pStyle w:val="BodyText"/>
      </w:pPr>
      <w:r>
        <w:rPr>
          <w:b/>
          <w:bCs/>
        </w:rPr>
        <w:t xml:space="preserve">Approach</w:t>
      </w:r>
      <w:r>
        <w:t xml:space="preserve">: Notified Body conformity assessment</w:t>
      </w:r>
    </w:p>
    <w:p>
      <w:pPr>
        <w:pStyle w:val="BodyText"/>
      </w:pPr>
      <w:r>
        <w:rPr>
          <w:b/>
          <w:bCs/>
        </w:rPr>
        <w:t xml:space="preserve">Standards Compliance</w:t>
      </w:r>
      <w:r>
        <w:t xml:space="preserve">:</w:t>
      </w:r>
      <w:r>
        <w:t xml:space="preserve"> </w:t>
      </w:r>
      <w:r>
        <w:t xml:space="preserve">- IEC 62304 (medical device software lifecycle)</w:t>
      </w:r>
      <w:r>
        <w:t xml:space="preserve"> </w:t>
      </w:r>
      <w:r>
        <w:t xml:space="preserve">- ISO 13485 (quality management system)</w:t>
      </w:r>
      <w:r>
        <w:t xml:space="preserve"> </w:t>
      </w:r>
      <w:r>
        <w:t xml:space="preserve">- ISO 14971 (risk management)</w:t>
      </w:r>
      <w:r>
        <w:t xml:space="preserve"> </w:t>
      </w:r>
      <w:r>
        <w:t xml:space="preserve">- IEC 82304-1 (health software general requirements)</w:t>
      </w:r>
    </w:p>
    <w:p>
      <w:pPr>
        <w:pStyle w:val="BodyText"/>
      </w:pPr>
      <w:r>
        <w:rPr>
          <w:b/>
          <w:bCs/>
        </w:rPr>
        <w:t xml:space="preserve">Documentation</w:t>
      </w:r>
      <w:r>
        <w:t xml:space="preserve">:</w:t>
      </w:r>
      <w:r>
        <w:t xml:space="preserve"> </w:t>
      </w:r>
      <w:r>
        <w:t xml:space="preserve">- Clinical evaluation (literature review + beta testing data + PMCF plan)</w:t>
      </w:r>
      <w:r>
        <w:t xml:space="preserve"> </w:t>
      </w:r>
      <w:r>
        <w:t xml:space="preserve">- Technical documentation file</w:t>
      </w:r>
      <w:r>
        <w:t xml:space="preserve"> </w:t>
      </w:r>
      <w:r>
        <w:t xml:space="preserve">- Declaration of conformity</w:t>
      </w:r>
    </w:p>
    <w:p>
      <w:pPr>
        <w:pStyle w:val="BodyText"/>
      </w:pPr>
      <w:r>
        <w:rPr>
          <w:b/>
          <w:bCs/>
        </w:rPr>
        <w:t xml:space="preserve">Timeline</w:t>
      </w:r>
      <w:r>
        <w:t xml:space="preserve">: 12-18 months (leveraging FDA work for efficiency)</w:t>
      </w:r>
      <w:r>
        <w:t xml:space="preserve"> </w:t>
      </w:r>
      <w:r>
        <w:rPr>
          <w:b/>
          <w:bCs/>
        </w:rPr>
        <w:t xml:space="preserve">Cost</w:t>
      </w:r>
      <w:r>
        <w:t xml:space="preserve">: $630K</w:t>
      </w:r>
      <w:r>
        <w:t xml:space="preserve"> </w:t>
      </w:r>
      <w:r>
        <w:rPr>
          <w:b/>
          <w:bCs/>
        </w:rPr>
        <w:t xml:space="preserve">Market Impact</w:t>
      </w:r>
      <w:r>
        <w:t xml:space="preserve">: European Economic Area access (30+ countries)</w:t>
      </w:r>
    </w:p>
    <w:bookmarkEnd w:id="61"/>
    <w:bookmarkEnd w:id="62"/>
    <w:bookmarkStart w:id="63" w:name="X3859142a6ff9552a27a47450fb068593c59e44b"/>
    <w:p>
      <w:pPr>
        <w:pStyle w:val="Heading3"/>
      </w:pPr>
      <w:r>
        <w:rPr>
          <w:rStyle w:val="SectionNumber"/>
        </w:rPr>
        <w:t xml:space="preserve">1.7.4</w:t>
      </w:r>
      <w:r>
        <w:tab/>
      </w:r>
      <w:r>
        <w:t xml:space="preserve">Phase 3: Specialized Certifications (Months 36+, $400K+)</w:t>
      </w:r>
    </w:p>
    <w:p>
      <w:pPr>
        <w:pStyle w:val="FirstParagraph"/>
      </w:pPr>
      <w:r>
        <w:rPr>
          <w:b/>
          <w:bCs/>
        </w:rPr>
        <w:t xml:space="preserve">AS9100 Aerospace Quality Management</w:t>
      </w:r>
      <w:r>
        <w:t xml:space="preserve">: Market-driven if aerospace segment shows traction</w:t>
      </w:r>
      <w:r>
        <w:t xml:space="preserve"> </w:t>
      </w:r>
      <w:r>
        <w:rPr>
          <w:b/>
          <w:bCs/>
        </w:rPr>
        <w:t xml:space="preserve">Calibration Laboratory Features</w:t>
      </w:r>
      <w:r>
        <w:t xml:space="preserve">: Automated calibration certificate generation for metrology labs</w:t>
      </w:r>
      <w:r>
        <w:t xml:space="preserve"> </w:t>
      </w:r>
      <w:r>
        <w:rPr>
          <w:b/>
          <w:bCs/>
        </w:rPr>
        <w:t xml:space="preserve">Industry-Specific</w:t>
      </w:r>
      <w:r>
        <w:t xml:space="preserve">: Additional certifications as customer demand emerges</w:t>
      </w:r>
    </w:p>
    <w:bookmarkEnd w:id="63"/>
    <w:bookmarkStart w:id="64" w:name="X44160656c9c0caf2ad7808b20b03e4e167dd417"/>
    <w:p>
      <w:pPr>
        <w:pStyle w:val="Heading3"/>
      </w:pPr>
      <w:r>
        <w:rPr>
          <w:rStyle w:val="SectionNumber"/>
        </w:rPr>
        <w:t xml:space="preserve">1.7.5</w:t>
      </w:r>
      <w:r>
        <w:tab/>
      </w:r>
      <w:r>
        <w:t xml:space="preserve">Financial Return on Certification Investment</w:t>
      </w:r>
    </w:p>
    <w:p>
      <w:pPr>
        <w:pStyle w:val="FirstParagraph"/>
      </w:pPr>
      <w:r>
        <w:rPr>
          <w:b/>
          <w:bCs/>
        </w:rPr>
        <w:t xml:space="preserve">5-Year Revenue Projection</w:t>
      </w:r>
      <w:r>
        <w:t xml:space="preserve"> </w:t>
      </w:r>
      <w:r>
        <w:t xml:space="preserve">(Phase 1+2 certifications):</w:t>
      </w:r>
    </w:p>
    <w:tbl>
      <w:tblPr>
        <w:tblStyle w:val="Table"/>
        <w:tblW w:type="pct" w:w="5000"/>
        <w:tblLayout w:type="fixed"/>
        <w:tblLook w:firstRow="1" w:lastRow="0" w:firstColumn="0" w:lastColumn="0" w:noHBand="0" w:noVBand="0" w:val="0020"/>
      </w:tblPr>
      <w:tblGrid>
        <w:gridCol w:w="586"/>
        <w:gridCol w:w="977"/>
        <w:gridCol w:w="1075"/>
        <w:gridCol w:w="2346"/>
        <w:gridCol w:w="1564"/>
        <w:gridCol w:w="1368"/>
      </w:tblGrid>
      <w:tr>
        <w:trPr>
          <w:tblHeader w:val="on"/>
        </w:trPr>
        <w:tc>
          <w:tcPr/>
          <w:p>
            <w:pPr>
              <w:pStyle w:val="Compact"/>
            </w:pPr>
            <w:r>
              <w:t xml:space="preserve">Year</w:t>
            </w:r>
          </w:p>
        </w:tc>
        <w:tc>
          <w:tcPr/>
          <w:p>
            <w:pPr>
              <w:pStyle w:val="Compact"/>
            </w:pPr>
            <w:r>
              <w:t xml:space="preserve">Research</w:t>
            </w:r>
          </w:p>
        </w:tc>
        <w:tc>
          <w:tcPr/>
          <w:p>
            <w:pPr>
              <w:pStyle w:val="Compact"/>
            </w:pPr>
            <w:r>
              <w:t xml:space="preserve">ISO 17025</w:t>
            </w:r>
          </w:p>
        </w:tc>
        <w:tc>
          <w:tcPr/>
          <w:p>
            <w:pPr>
              <w:pStyle w:val="Compact"/>
            </w:pPr>
            <w:r>
              <w:t xml:space="preserve">Pharma (21 CFR Part 11)</w:t>
            </w:r>
          </w:p>
        </w:tc>
        <w:tc>
          <w:tcPr/>
          <w:p>
            <w:pPr>
              <w:pStyle w:val="Compact"/>
            </w:pPr>
            <w:r>
              <w:t xml:space="preserve">Medical Device</w:t>
            </w:r>
          </w:p>
        </w:tc>
        <w:tc>
          <w:tcPr/>
          <w:p>
            <w:pPr>
              <w:pStyle w:val="Compact"/>
            </w:pPr>
            <w:r>
              <w:t xml:space="preserve">Total Annual</w:t>
            </w:r>
          </w:p>
        </w:tc>
      </w:tr>
      <w:tr>
        <w:tc>
          <w:tcPr/>
          <w:p>
            <w:pPr>
              <w:pStyle w:val="Compact"/>
            </w:pPr>
            <w:r>
              <w:t xml:space="preserve">1</w:t>
            </w:r>
          </w:p>
        </w:tc>
        <w:tc>
          <w:tcPr/>
          <w:p>
            <w:pPr>
              <w:pStyle w:val="Compact"/>
            </w:pPr>
            <w:r>
              <w:t xml:space="preserve">$500K</w:t>
            </w:r>
          </w:p>
        </w:tc>
        <w:tc>
          <w:tcPr/>
          <w:p>
            <w:pPr>
              <w:pStyle w:val="Compact"/>
            </w:pPr>
            <w:r>
              <w:t xml:space="preserve">$400K</w:t>
            </w:r>
          </w:p>
        </w:tc>
        <w:tc>
          <w:tcPr/>
          <w:p>
            <w:pPr>
              <w:pStyle w:val="Compact"/>
            </w:pPr>
            <w:r>
              <w:t xml:space="preserve">$300K</w:t>
            </w:r>
          </w:p>
        </w:tc>
        <w:tc>
          <w:tcPr/>
          <w:p>
            <w:pPr>
              <w:pStyle w:val="Compact"/>
            </w:pPr>
            <w:r>
              <w:t xml:space="preserve">$0</w:t>
            </w:r>
          </w:p>
        </w:tc>
        <w:tc>
          <w:tcPr/>
          <w:p>
            <w:pPr>
              <w:pStyle w:val="Compact"/>
            </w:pPr>
            <w:r>
              <w:t xml:space="preserve">$1.2M</w:t>
            </w:r>
          </w:p>
        </w:tc>
      </w:tr>
      <w:tr>
        <w:tc>
          <w:tcPr/>
          <w:p>
            <w:pPr>
              <w:pStyle w:val="Compact"/>
            </w:pPr>
            <w:r>
              <w:t xml:space="preserve">2</w:t>
            </w:r>
          </w:p>
        </w:tc>
        <w:tc>
          <w:tcPr/>
          <w:p>
            <w:pPr>
              <w:pStyle w:val="Compact"/>
            </w:pPr>
            <w:r>
              <w:t xml:space="preserve">$600K</w:t>
            </w:r>
          </w:p>
        </w:tc>
        <w:tc>
          <w:tcPr/>
          <w:p>
            <w:pPr>
              <w:pStyle w:val="Compact"/>
            </w:pPr>
            <w:r>
              <w:t xml:space="preserve">$700K</w:t>
            </w:r>
          </w:p>
        </w:tc>
        <w:tc>
          <w:tcPr/>
          <w:p>
            <w:pPr>
              <w:pStyle w:val="Compact"/>
            </w:pPr>
            <w:r>
              <w:t xml:space="preserve">$450K</w:t>
            </w:r>
          </w:p>
        </w:tc>
        <w:tc>
          <w:tcPr/>
          <w:p>
            <w:pPr>
              <w:pStyle w:val="Compact"/>
            </w:pPr>
            <w:r>
              <w:t xml:space="preserve">$0</w:t>
            </w:r>
          </w:p>
        </w:tc>
        <w:tc>
          <w:tcPr/>
          <w:p>
            <w:pPr>
              <w:pStyle w:val="Compact"/>
            </w:pPr>
            <w:r>
              <w:t xml:space="preserve">$1.75M</w:t>
            </w:r>
          </w:p>
        </w:tc>
      </w:tr>
      <w:tr>
        <w:tc>
          <w:tcPr/>
          <w:p>
            <w:pPr>
              <w:pStyle w:val="Compact"/>
            </w:pPr>
            <w:r>
              <w:t xml:space="preserve">3</w:t>
            </w:r>
          </w:p>
        </w:tc>
        <w:tc>
          <w:tcPr/>
          <w:p>
            <w:pPr>
              <w:pStyle w:val="Compact"/>
            </w:pPr>
            <w:r>
              <w:t xml:space="preserve">$700K</w:t>
            </w:r>
          </w:p>
        </w:tc>
        <w:tc>
          <w:tcPr/>
          <w:p>
            <w:pPr>
              <w:pStyle w:val="Compact"/>
            </w:pPr>
            <w:r>
              <w:t xml:space="preserve">$1,000K</w:t>
            </w:r>
          </w:p>
        </w:tc>
        <w:tc>
          <w:tcPr/>
          <w:p>
            <w:pPr>
              <w:pStyle w:val="Compact"/>
            </w:pPr>
            <w:r>
              <w:t xml:space="preserve">$600K</w:t>
            </w:r>
          </w:p>
        </w:tc>
        <w:tc>
          <w:tcPr/>
          <w:p>
            <w:pPr>
              <w:pStyle w:val="Compact"/>
            </w:pPr>
            <w:r>
              <w:t xml:space="preserve">$300K</w:t>
            </w:r>
          </w:p>
        </w:tc>
        <w:tc>
          <w:tcPr/>
          <w:p>
            <w:pPr>
              <w:pStyle w:val="Compact"/>
            </w:pPr>
            <w:r>
              <w:t xml:space="preserve">$2.6M</w:t>
            </w:r>
          </w:p>
        </w:tc>
      </w:tr>
      <w:tr>
        <w:tc>
          <w:tcPr/>
          <w:p>
            <w:pPr>
              <w:pStyle w:val="Compact"/>
            </w:pPr>
            <w:r>
              <w:t xml:space="preserve">4</w:t>
            </w:r>
          </w:p>
        </w:tc>
        <w:tc>
          <w:tcPr/>
          <w:p>
            <w:pPr>
              <w:pStyle w:val="Compact"/>
            </w:pPr>
            <w:r>
              <w:t xml:space="preserve">$800K</w:t>
            </w:r>
          </w:p>
        </w:tc>
        <w:tc>
          <w:tcPr/>
          <w:p>
            <w:pPr>
              <w:pStyle w:val="Compact"/>
            </w:pPr>
            <w:r>
              <w:t xml:space="preserve">$1,200K</w:t>
            </w:r>
          </w:p>
        </w:tc>
        <w:tc>
          <w:tcPr/>
          <w:p>
            <w:pPr>
              <w:pStyle w:val="Compact"/>
            </w:pPr>
            <w:r>
              <w:t xml:space="preserve">$700K</w:t>
            </w:r>
          </w:p>
        </w:tc>
        <w:tc>
          <w:tcPr/>
          <w:p>
            <w:pPr>
              <w:pStyle w:val="Compact"/>
            </w:pPr>
            <w:r>
              <w:t xml:space="preserve">$500K</w:t>
            </w:r>
          </w:p>
        </w:tc>
        <w:tc>
          <w:tcPr/>
          <w:p>
            <w:pPr>
              <w:pStyle w:val="Compact"/>
            </w:pPr>
            <w:r>
              <w:t xml:space="preserve">$3.2M</w:t>
            </w:r>
          </w:p>
        </w:tc>
      </w:tr>
      <w:tr>
        <w:tc>
          <w:tcPr/>
          <w:p>
            <w:pPr>
              <w:pStyle w:val="Compact"/>
            </w:pPr>
            <w:r>
              <w:t xml:space="preserve">5</w:t>
            </w:r>
          </w:p>
        </w:tc>
        <w:tc>
          <w:tcPr/>
          <w:p>
            <w:pPr>
              <w:pStyle w:val="Compact"/>
            </w:pPr>
            <w:r>
              <w:t xml:space="preserve">$900K</w:t>
            </w:r>
          </w:p>
        </w:tc>
        <w:tc>
          <w:tcPr/>
          <w:p>
            <w:pPr>
              <w:pStyle w:val="Compact"/>
            </w:pPr>
            <w:r>
              <w:t xml:space="preserve">$1,400K</w:t>
            </w:r>
          </w:p>
        </w:tc>
        <w:tc>
          <w:tcPr/>
          <w:p>
            <w:pPr>
              <w:pStyle w:val="Compact"/>
            </w:pPr>
            <w:r>
              <w:t xml:space="preserve">$750K</w:t>
            </w:r>
          </w:p>
        </w:tc>
        <w:tc>
          <w:tcPr/>
          <w:p>
            <w:pPr>
              <w:pStyle w:val="Compact"/>
            </w:pPr>
            <w:r>
              <w:t xml:space="preserve">$800K</w:t>
            </w:r>
          </w:p>
        </w:tc>
        <w:tc>
          <w:tcPr/>
          <w:p>
            <w:pPr>
              <w:pStyle w:val="Compact"/>
            </w:pPr>
            <w:r>
              <w:t xml:space="preserve">$3.85M</w:t>
            </w:r>
          </w:p>
        </w:tc>
      </w:tr>
    </w:tbl>
    <w:p>
      <w:pPr>
        <w:pStyle w:val="BodyText"/>
      </w:pPr>
      <w:r>
        <w:rPr>
          <w:b/>
          <w:bCs/>
        </w:rPr>
        <w:t xml:space="preserve">5-Year Cumulative Revenue</w:t>
      </w:r>
      <w:r>
        <w:t xml:space="preserve">: $12.6M</w:t>
      </w:r>
      <w:r>
        <w:t xml:space="preserve"> </w:t>
      </w:r>
      <w:r>
        <w:rPr>
          <w:b/>
          <w:bCs/>
        </w:rPr>
        <w:t xml:space="preserve">Gross Profit (75% margin)</w:t>
      </w:r>
      <w:r>
        <w:t xml:space="preserve">: $9.45M</w:t>
      </w:r>
      <w:r>
        <w:t xml:space="preserve"> </w:t>
      </w:r>
      <w:r>
        <w:rPr>
          <w:b/>
          <w:bCs/>
        </w:rPr>
        <w:t xml:space="preserve">Net Benefit (Revenue - Investment)</w:t>
      </w:r>
      <w:r>
        <w:t xml:space="preserve">: $6.85M</w:t>
      </w:r>
      <w:r>
        <w:t xml:space="preserve"> </w:t>
      </w:r>
      <w:r>
        <w:rPr>
          <w:b/>
          <w:bCs/>
        </w:rPr>
        <w:t xml:space="preserve">ROI</w:t>
      </w:r>
      <w:r>
        <w:t xml:space="preserve">: 264%</w:t>
      </w:r>
      <w:r>
        <w:t xml:space="preserve"> </w:t>
      </w:r>
      <w:r>
        <w:rPr>
          <w:b/>
          <w:bCs/>
        </w:rPr>
        <w:t xml:space="preserve">Payback</w:t>
      </w:r>
      <w:r>
        <w:t xml:space="preserve">: Year 3</w:t>
      </w:r>
    </w:p>
    <w:p>
      <w:pPr>
        <w:pStyle w:val="BodyText"/>
      </w:pPr>
      <w:r>
        <w:rPr>
          <w:b/>
          <w:bCs/>
        </w:rPr>
        <w:t xml:space="preserve">Decision Framework</w:t>
      </w:r>
      <w:r>
        <w:t xml:space="preserve">: Proceed with Phase 1 certifications ($1.2M over 18 months) as lowest barrier to entry with largest addressable market and fastest ROI. Evaluate Phase 2 medical device certifications at 18-month gate based on Phase 1 results and market traction.</w:t>
      </w:r>
    </w:p>
    <w:p>
      <w:r>
        <w:pict>
          <v:rect style="width:0;height:1.5pt" o:hralign="center" o:hrstd="t" o:hr="t"/>
        </w:pict>
      </w:r>
    </w:p>
    <w:bookmarkEnd w:id="64"/>
    <w:bookmarkEnd w:id="65"/>
    <w:bookmarkStart w:id="72" w:name="implementation-roadmap"/>
    <w:p>
      <w:pPr>
        <w:pStyle w:val="Heading2"/>
      </w:pPr>
      <w:r>
        <w:rPr>
          <w:rStyle w:val="SectionNumber"/>
        </w:rPr>
        <w:t xml:space="preserve">1.8</w:t>
      </w:r>
      <w:r>
        <w:tab/>
      </w:r>
      <w:r>
        <w:t xml:space="preserve">Implementation Roadmap</w:t>
      </w:r>
    </w:p>
    <w:bookmarkStart w:id="66" w:name="three-phase-development-strategy"/>
    <w:p>
      <w:pPr>
        <w:pStyle w:val="Heading3"/>
      </w:pPr>
      <w:r>
        <w:rPr>
          <w:rStyle w:val="SectionNumber"/>
        </w:rPr>
        <w:t xml:space="preserve">1.8.1</w:t>
      </w:r>
      <w:r>
        <w:tab/>
      </w:r>
      <w:r>
        <w:t xml:space="preserve">Three-Phase Development Strategy</w:t>
      </w:r>
    </w:p>
    <w:p>
      <w:pPr>
        <w:pStyle w:val="FirstParagraph"/>
      </w:pPr>
      <w:r>
        <w:rPr>
          <w:b/>
          <w:bCs/>
        </w:rPr>
        <w:t xml:space="preserve">Total Timeline</w:t>
      </w:r>
      <w:r>
        <w:t xml:space="preserve">: 13 months from Phase 1 start to full product portfolio launch</w:t>
      </w:r>
      <w:r>
        <w:t xml:space="preserve"> </w:t>
      </w:r>
      <w:r>
        <w:rPr>
          <w:b/>
          <w:bCs/>
        </w:rPr>
        <w:t xml:space="preserve">Total Investment</w:t>
      </w:r>
      <w:r>
        <w:t xml:space="preserve">: $755K (development) + $112K (contingency) = $867K</w:t>
      </w:r>
      <w:r>
        <w:t xml:space="preserve"> </w:t>
      </w:r>
      <w:r>
        <w:rPr>
          <w:b/>
          <w:bCs/>
        </w:rPr>
        <w:t xml:space="preserve">Team</w:t>
      </w:r>
      <w:r>
        <w:t xml:space="preserve">: 2-3 Hupyy engineers + 0.5-2.0 SRS engineers (FTE average)</w:t>
      </w:r>
    </w:p>
    <w:p>
      <w:pPr>
        <w:pStyle w:val="SourceCode"/>
      </w:pPr>
      <w:r>
        <w:rPr>
          <w:rStyle w:val="VerbatimChar"/>
        </w:rPr>
        <w:t xml:space="preserve">gantt</w:t>
      </w:r>
      <w:r>
        <w:br/>
      </w:r>
      <w:r>
        <w:rPr>
          <w:rStyle w:val="VerbatimChar"/>
        </w:rPr>
        <w:t xml:space="preserve">    title Implementation Roadmap (13 Months)</w:t>
      </w:r>
      <w:r>
        <w:br/>
      </w:r>
      <w:r>
        <w:rPr>
          <w:rStyle w:val="VerbatimChar"/>
        </w:rPr>
        <w:t xml:space="preserve">    dateFormat YYYY-MM</w:t>
      </w:r>
      <w:r>
        <w:br/>
      </w:r>
      <w:r>
        <w:rPr>
          <w:rStyle w:val="VerbatimChar"/>
        </w:rPr>
        <w:t xml:space="preserve">    section Phase 1: Pilot</w:t>
      </w:r>
      <w:r>
        <w:br/>
      </w:r>
      <w:r>
        <w:rPr>
          <w:rStyle w:val="VerbatimChar"/>
        </w:rPr>
        <w:t xml:space="preserve">    SR860 Lock-In Amplifier Pilot        :p1, 2025-12, 4M</w:t>
      </w:r>
      <w:r>
        <w:br/>
      </w:r>
      <w:r>
        <w:rPr>
          <w:rStyle w:val="VerbatimChar"/>
        </w:rPr>
        <w:t xml:space="preserve">    Beta Testing (3-5 sites)             :p1b, 2026-03, 1M</w:t>
      </w:r>
      <w:r>
        <w:br/>
      </w:r>
      <w:r>
        <w:rPr>
          <w:rStyle w:val="VerbatimChar"/>
        </w:rPr>
        <w:t xml:space="preserve">    Go/No-Go Decision                    :milestone, m1, 2026-04, 0d</w:t>
      </w:r>
      <w:r>
        <w:br/>
      </w:r>
      <w:r>
        <w:br/>
      </w:r>
      <w:r>
        <w:rPr>
          <w:rStyle w:val="VerbatimChar"/>
        </w:rPr>
        <w:t xml:space="preserve">    section Phase 2: Expansion</w:t>
      </w:r>
      <w:r>
        <w:br/>
      </w:r>
      <w:r>
        <w:rPr>
          <w:rStyle w:val="VerbatimChar"/>
        </w:rPr>
        <w:t xml:space="preserve">    RGA &amp; Spectrum Analyzers             :p2, 2026-04, 3M</w:t>
      </w:r>
      <w:r>
        <w:br/>
      </w:r>
      <w:r>
        <w:rPr>
          <w:rStyle w:val="VerbatimChar"/>
        </w:rPr>
        <w:t xml:space="preserve">    Beta Testing (5-10 sites)            :p2b, 2026-06, 1M</w:t>
      </w:r>
      <w:r>
        <w:br/>
      </w:r>
      <w:r>
        <w:rPr>
          <w:rStyle w:val="VerbatimChar"/>
        </w:rPr>
        <w:t xml:space="preserve">    Commercial Launch (3 products)       :milestone, m2, 2026-07, 0d</w:t>
      </w:r>
      <w:r>
        <w:br/>
      </w:r>
      <w:r>
        <w:br/>
      </w:r>
      <w:r>
        <w:rPr>
          <w:rStyle w:val="VerbatimChar"/>
        </w:rPr>
        <w:t xml:space="preserve">    section Phase 3: Full Portfolio</w:t>
      </w:r>
      <w:r>
        <w:br/>
      </w:r>
      <w:r>
        <w:rPr>
          <w:rStyle w:val="VerbatimChar"/>
        </w:rPr>
        <w:t xml:space="preserve">    20-25 Product Families               :p3, 2026-07, 6M</w:t>
      </w:r>
      <w:r>
        <w:br/>
      </w:r>
      <w:r>
        <w:rPr>
          <w:rStyle w:val="VerbatimChar"/>
        </w:rPr>
        <w:t xml:space="preserve">    Commercial Launch (Full Portfolio)   :milestone, m3, 2027-01, 0d</w:t>
      </w:r>
      <w:r>
        <w:br/>
      </w:r>
      <w:r>
        <w:rPr>
          <w:rStyle w:val="VerbatimChar"/>
        </w:rPr>
        <w:t xml:space="preserve">    Steady-State Operations              :ops, 2027-01, 3M</w:t>
      </w:r>
    </w:p>
    <w:bookmarkEnd w:id="66"/>
    <w:bookmarkStart w:id="67" w:name="X96136f43dccebad9d12fc569feff6a4f6c990fd"/>
    <w:p>
      <w:pPr>
        <w:pStyle w:val="Heading3"/>
      </w:pPr>
      <w:r>
        <w:rPr>
          <w:rStyle w:val="SectionNumber"/>
        </w:rPr>
        <w:t xml:space="preserve">1.8.2</w:t>
      </w:r>
      <w:r>
        <w:tab/>
      </w:r>
      <w:r>
        <w:t xml:space="preserve">Phase 1: Pilot Implementation - SR860 Lock-In Amplifier (4 Months, $155K)</w:t>
      </w:r>
    </w:p>
    <w:p>
      <w:pPr>
        <w:pStyle w:val="FirstParagraph"/>
      </w:pPr>
      <w:r>
        <w:rPr>
          <w:b/>
          <w:bCs/>
        </w:rPr>
        <w:t xml:space="preserve">Objective</w:t>
      </w:r>
      <w:r>
        <w:t xml:space="preserve">: Validate technical feasibility, user acceptance, and commercial viability with single instrument</w:t>
      </w:r>
    </w:p>
    <w:p>
      <w:pPr>
        <w:pStyle w:val="BodyText"/>
      </w:pPr>
      <w:r>
        <w:rPr>
          <w:b/>
          <w:bCs/>
        </w:rPr>
        <w:t xml:space="preserve">Key Milestones</w:t>
      </w:r>
      <w:r>
        <w:t xml:space="preserve">:</w:t>
      </w:r>
      <w:r>
        <w:t xml:space="preserve"> </w:t>
      </w:r>
      <w:r>
        <w:t xml:space="preserve">-</w:t>
      </w:r>
      <w:r>
        <w:t xml:space="preserve"> </w:t>
      </w:r>
      <w:r>
        <w:rPr>
          <w:b/>
          <w:bCs/>
        </w:rPr>
        <w:t xml:space="preserve">Month 1</w:t>
      </w:r>
      <w:r>
        <w:t xml:space="preserve">: Architecture and Requirements Approval</w:t>
      </w:r>
      <w:r>
        <w:t xml:space="preserve"> </w:t>
      </w:r>
      <w:r>
        <w:t xml:space="preserve">- Joint Hupyy-SRS kickoff and requirements gathering</w:t>
      </w:r>
      <w:r>
        <w:t xml:space="preserve"> </w:t>
      </w:r>
      <w:r>
        <w:t xml:space="preserve">- SR860 DSP algorithm analysis and technical design</w:t>
      </w:r>
      <w:r>
        <w:t xml:space="preserve"> </w:t>
      </w:r>
      <w:r>
        <w:t xml:space="preserve">- 3-5 beta test sites identified</w:t>
      </w:r>
    </w:p>
    <w:p>
      <w:pPr>
        <w:pStyle w:val="Compact"/>
        <w:numPr>
          <w:ilvl w:val="0"/>
          <w:numId w:val="1011"/>
        </w:numPr>
      </w:pPr>
      <w:r>
        <w:rPr>
          <w:b/>
          <w:bCs/>
        </w:rPr>
        <w:t xml:space="preserve">Month 2</w:t>
      </w:r>
      <w:r>
        <w:t xml:space="preserve">: Core Technology Demonstration</w:t>
      </w:r>
    </w:p>
    <w:p>
      <w:pPr>
        <w:pStyle w:val="Compact"/>
        <w:numPr>
          <w:ilvl w:val="1"/>
          <w:numId w:val="1012"/>
        </w:numPr>
      </w:pPr>
      <w:r>
        <w:t xml:space="preserve">Formal verification framework for SR860 operations</w:t>
      </w:r>
    </w:p>
    <w:p>
      <w:pPr>
        <w:pStyle w:val="Compact"/>
        <w:numPr>
          <w:ilvl w:val="1"/>
          <w:numId w:val="1012"/>
        </w:numPr>
      </w:pPr>
      <w:r>
        <w:t xml:space="preserve">AI anomaly detection models trained on SRS reference data</w:t>
      </w:r>
    </w:p>
    <w:p>
      <w:pPr>
        <w:pStyle w:val="Compact"/>
        <w:numPr>
          <w:ilvl w:val="1"/>
          <w:numId w:val="1012"/>
        </w:numPr>
      </w:pPr>
      <w:r>
        <w:t xml:space="preserve">Internal demo to SRS stakeholders</w:t>
      </w:r>
    </w:p>
    <w:p>
      <w:pPr>
        <w:pStyle w:val="Compact"/>
        <w:numPr>
          <w:ilvl w:val="0"/>
          <w:numId w:val="1011"/>
        </w:numPr>
      </w:pPr>
      <w:r>
        <w:rPr>
          <w:b/>
          <w:bCs/>
        </w:rPr>
        <w:t xml:space="preserve">Month 3</w:t>
      </w:r>
      <w:r>
        <w:t xml:space="preserve">: Beta Release Readiness</w:t>
      </w:r>
    </w:p>
    <w:p>
      <w:pPr>
        <w:pStyle w:val="Compact"/>
        <w:numPr>
          <w:ilvl w:val="1"/>
          <w:numId w:val="1013"/>
        </w:numPr>
      </w:pPr>
      <w:r>
        <w:t xml:space="preserve">Python driver integration (PyMeasure, QCoDeS, standalone API)</w:t>
      </w:r>
    </w:p>
    <w:p>
      <w:pPr>
        <w:pStyle w:val="Compact"/>
        <w:numPr>
          <w:ilvl w:val="1"/>
          <w:numId w:val="1013"/>
        </w:numPr>
      </w:pPr>
      <w:r>
        <w:t xml:space="preserve">Commercial beta package with user documentation</w:t>
      </w:r>
    </w:p>
    <w:p>
      <w:pPr>
        <w:pStyle w:val="Compact"/>
        <w:numPr>
          <w:ilvl w:val="1"/>
          <w:numId w:val="1013"/>
        </w:numPr>
      </w:pPr>
      <w:r>
        <w:t xml:space="preserve">Training materials complete</w:t>
      </w:r>
    </w:p>
    <w:p>
      <w:pPr>
        <w:pStyle w:val="Compact"/>
        <w:numPr>
          <w:ilvl w:val="0"/>
          <w:numId w:val="1011"/>
        </w:numPr>
      </w:pPr>
      <w:r>
        <w:rPr>
          <w:b/>
          <w:bCs/>
        </w:rPr>
        <w:t xml:space="preserve">Month 4</w:t>
      </w:r>
      <w:r>
        <w:t xml:space="preserve">: Pilot Completion and Go/No-Go Decision</w:t>
      </w:r>
    </w:p>
    <w:p>
      <w:pPr>
        <w:pStyle w:val="Compact"/>
        <w:numPr>
          <w:ilvl w:val="1"/>
          <w:numId w:val="1014"/>
        </w:numPr>
      </w:pPr>
      <w:r>
        <w:t xml:space="preserve">Beta deployment to 3-5 test sites</w:t>
      </w:r>
    </w:p>
    <w:p>
      <w:pPr>
        <w:pStyle w:val="Compact"/>
        <w:numPr>
          <w:ilvl w:val="1"/>
          <w:numId w:val="1014"/>
        </w:numPr>
      </w:pPr>
      <w:r>
        <w:t xml:space="preserve">Issue resolution and product refinement</w:t>
      </w:r>
    </w:p>
    <w:p>
      <w:pPr>
        <w:pStyle w:val="Compact"/>
        <w:numPr>
          <w:ilvl w:val="1"/>
          <w:numId w:val="1014"/>
        </w:numPr>
      </w:pPr>
      <w:r>
        <w:t xml:space="preserve">Pilot assessment report and Phase 2 recommendation</w:t>
      </w:r>
    </w:p>
    <w:p>
      <w:pPr>
        <w:pStyle w:val="FirstParagraph"/>
      </w:pPr>
      <w:r>
        <w:rPr>
          <w:b/>
          <w:bCs/>
        </w:rPr>
        <w:t xml:space="preserve">Success Criteria</w:t>
      </w:r>
      <w:r>
        <w:t xml:space="preserve"> </w:t>
      </w:r>
      <w:r>
        <w:t xml:space="preserve">(Go/No-Go Decision):</w:t>
      </w:r>
      <w:r>
        <w:t xml:space="preserve"> </w:t>
      </w:r>
      <w:r>
        <w:t xml:space="preserve">- Technical: &lt;10ms verification overhead, &gt;90% AI accuracy, zero breaking changes</w:t>
      </w:r>
      <w:r>
        <w:t xml:space="preserve"> </w:t>
      </w:r>
      <w:r>
        <w:t xml:space="preserve">- User: &gt;80% satisfaction (4.0/5.0), 3+ documented error detection cases, no critical bugs</w:t>
      </w:r>
      <w:r>
        <w:t xml:space="preserve"> </w:t>
      </w:r>
      <w:r>
        <w:t xml:space="preserve">- Commercial: &gt;60% pricing acceptance, &gt;40% purchase intent</w:t>
      </w:r>
      <w:r>
        <w:t xml:space="preserve"> </w:t>
      </w:r>
      <w:r>
        <w:t xml:space="preserve">- Architecture: Validated for Phase 2 scalability with &lt;30% rework</w:t>
      </w:r>
    </w:p>
    <w:p>
      <w:pPr>
        <w:pStyle w:val="BodyText"/>
      </w:pPr>
      <w:r>
        <w:rPr>
          <w:b/>
          <w:bCs/>
        </w:rPr>
        <w:t xml:space="preserve">Resource Allocation</w:t>
      </w:r>
      <w:r>
        <w:t xml:space="preserve">:</w:t>
      </w:r>
      <w:r>
        <w:t xml:space="preserve"> </w:t>
      </w:r>
      <w:r>
        <w:t xml:space="preserve">- Hupyy: 2 engineers @ 90% = 7.2 FTE-months ($110K)</w:t>
      </w:r>
      <w:r>
        <w:t xml:space="preserve"> </w:t>
      </w:r>
      <w:r>
        <w:t xml:space="preserve">- SRS: 1 engineer @ 50% = 2.0 FTE-months ($40K)</w:t>
      </w:r>
      <w:r>
        <w:t xml:space="preserve"> </w:t>
      </w:r>
      <w:r>
        <w:t xml:space="preserve">- Infrastructure: $5.5K</w:t>
      </w:r>
    </w:p>
    <w:p>
      <w:pPr>
        <w:pStyle w:val="BodyText"/>
      </w:pPr>
      <w:r>
        <w:rPr>
          <w:b/>
          <w:bCs/>
        </w:rPr>
        <w:t xml:space="preserve">Deliverables</w:t>
      </w:r>
      <w:r>
        <w:t xml:space="preserve">:</w:t>
      </w:r>
      <w:r>
        <w:t xml:space="preserve"> </w:t>
      </w:r>
      <w:r>
        <w:t xml:space="preserve">- Working SR860 verification software</w:t>
      </w:r>
      <w:r>
        <w:t xml:space="preserve"> </w:t>
      </w:r>
      <w:r>
        <w:t xml:space="preserve">- Beta testing results and user feedback</w:t>
      </w:r>
      <w:r>
        <w:t xml:space="preserve"> </w:t>
      </w:r>
      <w:r>
        <w:t xml:space="preserve">- Pilot assessment report with Phase 2 business case</w:t>
      </w:r>
      <w:r>
        <w:t xml:space="preserve"> </w:t>
      </w:r>
      <w:r>
        <w:t xml:space="preserve">- Go/No-Go decision documentation</w:t>
      </w:r>
    </w:p>
    <w:bookmarkEnd w:id="67"/>
    <w:bookmarkStart w:id="68" w:name="Xb5cbe7b753b052a508326964f1617065660cea3"/>
    <w:p>
      <w:pPr>
        <w:pStyle w:val="Heading3"/>
      </w:pPr>
      <w:r>
        <w:rPr>
          <w:rStyle w:val="SectionNumber"/>
        </w:rPr>
        <w:t xml:space="preserve">1.8.3</w:t>
      </w:r>
      <w:r>
        <w:tab/>
      </w:r>
      <w:r>
        <w:t xml:space="preserve">Phase 2: Expansion to RGA and Spectrum Analyzers (3 Months, $187K)</w:t>
      </w:r>
    </w:p>
    <w:p>
      <w:pPr>
        <w:pStyle w:val="FirstParagraph"/>
      </w:pPr>
      <w:r>
        <w:rPr>
          <w:b/>
          <w:bCs/>
        </w:rPr>
        <w:t xml:space="preserve">Objective</w:t>
      </w:r>
      <w:r>
        <w:t xml:space="preserve">: Validate scalability of platform approach across multiple product families</w:t>
      </w:r>
    </w:p>
    <w:p>
      <w:pPr>
        <w:pStyle w:val="BodyText"/>
      </w:pPr>
      <w:r>
        <w:rPr>
          <w:b/>
          <w:bCs/>
        </w:rPr>
        <w:t xml:space="preserve">Scope</w:t>
      </w:r>
      <w:r>
        <w:t xml:space="preserve">: Expand to 3 product families:</w:t>
      </w:r>
      <w:r>
        <w:t xml:space="preserve"> </w:t>
      </w:r>
      <w:r>
        <w:t xml:space="preserve">- SR860 Lock-In Amplifier (from Phase 1)</w:t>
      </w:r>
      <w:r>
        <w:t xml:space="preserve"> </w:t>
      </w:r>
      <w:r>
        <w:t xml:space="preserve">- RGA (Residual Gas Analyzer)</w:t>
      </w:r>
      <w:r>
        <w:t xml:space="preserve"> </w:t>
      </w:r>
      <w:r>
        <w:t xml:space="preserve">- Spectrum Analyzers</w:t>
      </w:r>
    </w:p>
    <w:p>
      <w:pPr>
        <w:pStyle w:val="BodyText"/>
      </w:pPr>
      <w:r>
        <w:rPr>
          <w:b/>
          <w:bCs/>
        </w:rPr>
        <w:t xml:space="preserve">Key Activities</w:t>
      </w:r>
      <w:r>
        <w:t xml:space="preserve">:</w:t>
      </w:r>
      <w:r>
        <w:t xml:space="preserve"> </w:t>
      </w:r>
      <w:r>
        <w:t xml:space="preserve">- Leverage Phase 1 architecture (&gt;70% code reuse)</w:t>
      </w:r>
      <w:r>
        <w:t xml:space="preserve"> </w:t>
      </w:r>
      <w:r>
        <w:t xml:space="preserve">- RGA and spectrum analyzer-specific algorithm verification</w:t>
      </w:r>
      <w:r>
        <w:t xml:space="preserve"> </w:t>
      </w:r>
      <w:r>
        <w:t xml:space="preserve">- Expanded beta testing (5-10 sites across product lines)</w:t>
      </w:r>
      <w:r>
        <w:t xml:space="preserve"> </w:t>
      </w:r>
      <w:r>
        <w:t xml:space="preserve">- Commercial launch preparation (licensing, distribution, marketing)</w:t>
      </w:r>
    </w:p>
    <w:p>
      <w:pPr>
        <w:pStyle w:val="BodyText"/>
      </w:pPr>
      <w:r>
        <w:rPr>
          <w:b/>
          <w:bCs/>
        </w:rPr>
        <w:t xml:space="preserve">Resource Allocation</w:t>
      </w:r>
      <w:r>
        <w:t xml:space="preserve">:</w:t>
      </w:r>
      <w:r>
        <w:t xml:space="preserve"> </w:t>
      </w:r>
      <w:r>
        <w:t xml:space="preserve">- Hupyy: 2 engineers @ 90% = 5.4 FTE-months ($82.5K)</w:t>
      </w:r>
      <w:r>
        <w:t xml:space="preserve"> </w:t>
      </w:r>
      <w:r>
        <w:t xml:space="preserve">- SRS: 2 engineers @ 60% + 1 PM @ 25% = 4.35 FTE-months ($87K)</w:t>
      </w:r>
      <w:r>
        <w:t xml:space="preserve"> </w:t>
      </w:r>
      <w:r>
        <w:t xml:space="preserve">- Infrastructure and marketing: $18.9K</w:t>
      </w:r>
    </w:p>
    <w:p>
      <w:pPr>
        <w:pStyle w:val="BodyText"/>
      </w:pPr>
      <w:r>
        <w:rPr>
          <w:b/>
          <w:bCs/>
        </w:rPr>
        <w:t xml:space="preserve">Commercial Milestone</w:t>
      </w:r>
      <w:r>
        <w:t xml:space="preserve">: First revenue ($90K-150K bookings) from 3-5 customers purchasing multi-product bundles</w:t>
      </w:r>
    </w:p>
    <w:p>
      <w:pPr>
        <w:pStyle w:val="BodyText"/>
      </w:pPr>
      <w:r>
        <w:rPr>
          <w:b/>
          <w:bCs/>
        </w:rPr>
        <w:t xml:space="preserve">Success Criteria</w:t>
      </w:r>
      <w:r>
        <w:t xml:space="preserve">:</w:t>
      </w:r>
      <w:r>
        <w:t xml:space="preserve"> </w:t>
      </w:r>
      <w:r>
        <w:t xml:space="preserve">- Code reuse: &gt;70% (validates platform approach efficiency)</w:t>
      </w:r>
      <w:r>
        <w:t xml:space="preserve"> </w:t>
      </w:r>
      <w:r>
        <w:t xml:space="preserve">- Development velocity: Each new product takes 1.2-1.5 FTE-months (versus 3.6 for SR860 ground-up)</w:t>
      </w:r>
      <w:r>
        <w:t xml:space="preserve"> </w:t>
      </w:r>
      <w:r>
        <w:t xml:space="preserve">- Customer acquisition: 3-5 paying customers by end of Phase 2</w:t>
      </w:r>
    </w:p>
    <w:bookmarkEnd w:id="68"/>
    <w:bookmarkStart w:id="69" w:name="X8b8d06181c5f98c870ed125c69ceccf47edc3b5"/>
    <w:p>
      <w:pPr>
        <w:pStyle w:val="Heading3"/>
      </w:pPr>
      <w:r>
        <w:rPr>
          <w:rStyle w:val="SectionNumber"/>
        </w:rPr>
        <w:t xml:space="preserve">1.8.4</w:t>
      </w:r>
      <w:r>
        <w:tab/>
      </w:r>
      <w:r>
        <w:t xml:space="preserve">Phase 3: Full Product Line Integration (6 Months, $520K)</w:t>
      </w:r>
    </w:p>
    <w:p>
      <w:pPr>
        <w:pStyle w:val="FirstParagraph"/>
      </w:pPr>
      <w:r>
        <w:rPr>
          <w:b/>
          <w:bCs/>
        </w:rPr>
        <w:t xml:space="preserve">Objective</w:t>
      </w:r>
      <w:r>
        <w:t xml:space="preserve">: Achieve comprehensive SRS product portfolio coverage enabling white-label and enterprise offerings</w:t>
      </w:r>
    </w:p>
    <w:p>
      <w:pPr>
        <w:pStyle w:val="BodyText"/>
      </w:pPr>
      <w:r>
        <w:rPr>
          <w:b/>
          <w:bCs/>
        </w:rPr>
        <w:t xml:space="preserve">Scope</w:t>
      </w:r>
      <w:r>
        <w:t xml:space="preserve">: Expand to 20-25 product families across:</w:t>
      </w:r>
      <w:r>
        <w:t xml:space="preserve"> </w:t>
      </w:r>
      <w:r>
        <w:t xml:space="preserve">- Lock-in amplifiers (SR860, SR850, etc.)</w:t>
      </w:r>
      <w:r>
        <w:t xml:space="preserve"> </w:t>
      </w:r>
      <w:r>
        <w:t xml:space="preserve">- Residual gas analyzers (RGA)</w:t>
      </w:r>
      <w:r>
        <w:t xml:space="preserve"> </w:t>
      </w:r>
      <w:r>
        <w:t xml:space="preserve">- Spectrum analyzers</w:t>
      </w:r>
      <w:r>
        <w:t xml:space="preserve"> </w:t>
      </w:r>
      <w:r>
        <w:t xml:space="preserve">- Frequency counters</w:t>
      </w:r>
      <w:r>
        <w:t xml:space="preserve"> </w:t>
      </w:r>
      <w:r>
        <w:t xml:space="preserve">- Function generators</w:t>
      </w:r>
      <w:r>
        <w:t xml:space="preserve"> </w:t>
      </w:r>
      <w:r>
        <w:t xml:space="preserve">- Temperature controllers</w:t>
      </w:r>
      <w:r>
        <w:t xml:space="preserve"> </w:t>
      </w:r>
      <w:r>
        <w:t xml:space="preserve">- Delay generators</w:t>
      </w:r>
      <w:r>
        <w:t xml:space="preserve"> </w:t>
      </w:r>
      <w:r>
        <w:t xml:space="preserve">- Other SRS instruments</w:t>
      </w:r>
    </w:p>
    <w:p>
      <w:pPr>
        <w:pStyle w:val="BodyText"/>
      </w:pPr>
      <w:r>
        <w:rPr>
          <w:b/>
          <w:bCs/>
        </w:rPr>
        <w:t xml:space="preserve">Key Activities</w:t>
      </w:r>
      <w:r>
        <w:t xml:space="preserve">:</w:t>
      </w:r>
      <w:r>
        <w:t xml:space="preserve"> </w:t>
      </w:r>
      <w:r>
        <w:t xml:space="preserve">- Parallel development across product families (map-reduce approach)</w:t>
      </w:r>
      <w:r>
        <w:t xml:space="preserve"> </w:t>
      </w:r>
      <w:r>
        <w:t xml:space="preserve">- Platform infrastructure hardening (scalability, security, compliance)</w:t>
      </w:r>
      <w:r>
        <w:t xml:space="preserve"> </w:t>
      </w:r>
      <w:r>
        <w:t xml:space="preserve">- White-labeling capabilities for SRS OEM bundling</w:t>
      </w:r>
      <w:r>
        <w:t xml:space="preserve"> </w:t>
      </w:r>
      <w:r>
        <w:t xml:space="preserve">- Steady-state operations team hiring (Month 13):</w:t>
      </w:r>
      <w:r>
        <w:t xml:space="preserve"> </w:t>
      </w:r>
      <w:r>
        <w:t xml:space="preserve">- Dedicated Product Manager (1 FTE, $120K/year)</w:t>
      </w:r>
      <w:r>
        <w:t xml:space="preserve"> </w:t>
      </w:r>
      <w:r>
        <w:t xml:space="preserve">- Customer Success Manager (1 FTE, $100K/year)</w:t>
      </w:r>
      <w:r>
        <w:t xml:space="preserve"> </w:t>
      </w:r>
      <w:r>
        <w:t xml:space="preserve">- Support Engineer (1 FTE, $90K/year)</w:t>
      </w:r>
    </w:p>
    <w:p>
      <w:pPr>
        <w:pStyle w:val="BodyText"/>
      </w:pPr>
      <w:r>
        <w:rPr>
          <w:b/>
          <w:bCs/>
        </w:rPr>
        <w:t xml:space="preserve">Resource Allocation</w:t>
      </w:r>
      <w:r>
        <w:t xml:space="preserve">:</w:t>
      </w:r>
      <w:r>
        <w:t xml:space="preserve"> </w:t>
      </w:r>
      <w:r>
        <w:t xml:space="preserve">- Hupyy: 3 engineers @ 95% = 17.1 FTE-months ($266K)</w:t>
      </w:r>
      <w:r>
        <w:t xml:space="preserve"> </w:t>
      </w:r>
      <w:r>
        <w:t xml:space="preserve">- SRS: 2 engineers @ 75% + 1 PM @ 50% = 12.0 FTE-months ($174K)</w:t>
      </w:r>
      <w:r>
        <w:t xml:space="preserve"> </w:t>
      </w:r>
      <w:r>
        <w:t xml:space="preserve">- Steady-state hiring (Month 13): $25.5K (1 month prorated)</w:t>
      </w:r>
      <w:r>
        <w:t xml:space="preserve"> </w:t>
      </w:r>
      <w:r>
        <w:t xml:space="preserve">- Infrastructure and marketing: $58.2K</w:t>
      </w:r>
    </w:p>
    <w:p>
      <w:pPr>
        <w:pStyle w:val="BodyText"/>
      </w:pPr>
      <w:r>
        <w:rPr>
          <w:b/>
          <w:bCs/>
        </w:rPr>
        <w:t xml:space="preserve">Commercial Milestone</w:t>
      </w:r>
      <w:r>
        <w:t xml:space="preserve">: Cumulative bookings $600K-1.25M with 15-25 total customers</w:t>
      </w:r>
    </w:p>
    <w:p>
      <w:pPr>
        <w:pStyle w:val="BodyText"/>
      </w:pPr>
      <w:r>
        <w:rPr>
          <w:b/>
          <w:bCs/>
        </w:rPr>
        <w:t xml:space="preserve">Success Criteria</w:t>
      </w:r>
      <w:r>
        <w:t xml:space="preserve">:</w:t>
      </w:r>
      <w:r>
        <w:t xml:space="preserve"> </w:t>
      </w:r>
      <w:r>
        <w:t xml:space="preserve">- Product coverage: 20-25 SRS product families (comprehensive portfolio)</w:t>
      </w:r>
      <w:r>
        <w:t xml:space="preserve"> </w:t>
      </w:r>
      <w:r>
        <w:t xml:space="preserve">- Platform efficiency: &lt;$30K-40K development cost per product family (economies of scale)</w:t>
      </w:r>
      <w:r>
        <w:t xml:space="preserve"> </w:t>
      </w:r>
      <w:r>
        <w:t xml:space="preserve">- Customer base: 15-25 customers with diversification across segments</w:t>
      </w:r>
      <w:r>
        <w:t xml:space="preserve"> </w:t>
      </w:r>
      <w:r>
        <w:t xml:space="preserve">- Operations transition: Steady-state team hired and onboarded</w:t>
      </w:r>
    </w:p>
    <w:bookmarkEnd w:id="69"/>
    <w:bookmarkStart w:id="70" w:name="resource-requirements-summary"/>
    <w:p>
      <w:pPr>
        <w:pStyle w:val="Heading3"/>
      </w:pPr>
      <w:r>
        <w:rPr>
          <w:rStyle w:val="SectionNumber"/>
        </w:rPr>
        <w:t xml:space="preserve">1.8.5</w:t>
      </w:r>
      <w:r>
        <w:tab/>
      </w:r>
      <w:r>
        <w:t xml:space="preserve">Resource Requirements Summary</w:t>
      </w:r>
    </w:p>
    <w:p>
      <w:pPr>
        <w:pStyle w:val="FirstParagraph"/>
      </w:pPr>
      <w:r>
        <w:rPr>
          <w:b/>
          <w:bCs/>
        </w:rPr>
        <w:t xml:space="preserve">Development Investment</w:t>
      </w:r>
      <w:r>
        <w:t xml:space="preserve"> </w:t>
      </w:r>
      <w:r>
        <w:t xml:space="preserve">(13 months):</w:t>
      </w:r>
      <w:r>
        <w:t xml:space="preserve"> </w:t>
      </w:r>
      <w:r>
        <w:t xml:space="preserve">-</w:t>
      </w:r>
      <w:r>
        <w:t xml:space="preserve"> </w:t>
      </w:r>
      <w:r>
        <w:rPr>
          <w:b/>
          <w:bCs/>
        </w:rPr>
        <w:t xml:space="preserve">Personnel</w:t>
      </w:r>
      <w:r>
        <w:t xml:space="preserve">: $785K (90.5% of total)</w:t>
      </w:r>
      <w:r>
        <w:t xml:space="preserve"> </w:t>
      </w:r>
      <w:r>
        <w:t xml:space="preserve">- Hupyy engineering: $453.5K (52%)</w:t>
      </w:r>
      <w:r>
        <w:t xml:space="preserve"> </w:t>
      </w:r>
      <w:r>
        <w:t xml:space="preserve">- SRS engineering: $331.5K (38%)</w:t>
      </w:r>
      <w:r>
        <w:t xml:space="preserve"> </w:t>
      </w:r>
      <w:r>
        <w:t xml:space="preserve">-</w:t>
      </w:r>
      <w:r>
        <w:t xml:space="preserve"> </w:t>
      </w:r>
      <w:r>
        <w:rPr>
          <w:b/>
          <w:bCs/>
        </w:rPr>
        <w:t xml:space="preserve">Infrastructure</w:t>
      </w:r>
      <w:r>
        <w:t xml:space="preserve">: $44.6K (5%)</w:t>
      </w:r>
      <w:r>
        <w:t xml:space="preserve"> </w:t>
      </w:r>
      <w:r>
        <w:t xml:space="preserve">-</w:t>
      </w:r>
      <w:r>
        <w:t xml:space="preserve"> </w:t>
      </w:r>
      <w:r>
        <w:rPr>
          <w:b/>
          <w:bCs/>
        </w:rPr>
        <w:t xml:space="preserve">Marketing &amp; Sales</w:t>
      </w:r>
      <w:r>
        <w:t xml:space="preserve">: $38K (4.5%)</w:t>
      </w:r>
      <w:r>
        <w:t xml:space="preserve"> </w:t>
      </w:r>
      <w:r>
        <w:t xml:space="preserve">-</w:t>
      </w:r>
      <w:r>
        <w:t xml:space="preserve"> </w:t>
      </w:r>
      <w:r>
        <w:rPr>
          <w:b/>
          <w:bCs/>
        </w:rPr>
        <w:t xml:space="preserve">Total</w:t>
      </w:r>
      <w:r>
        <w:t xml:space="preserve">: $867.6K</w:t>
      </w:r>
    </w:p>
    <w:p>
      <w:pPr>
        <w:pStyle w:val="BodyText"/>
      </w:pPr>
      <w:r>
        <w:rPr>
          <w:b/>
          <w:bCs/>
        </w:rPr>
        <w:t xml:space="preserve">Efficiency Metrics</w:t>
      </w:r>
      <w:r>
        <w:t xml:space="preserve">:</w:t>
      </w:r>
      <w:r>
        <w:t xml:space="preserve"> </w:t>
      </w:r>
      <w:r>
        <w:t xml:space="preserve">- Cost per product family: $30K-40K (versus $150K-300K traditional ground-up development)</w:t>
      </w:r>
      <w:r>
        <w:t xml:space="preserve"> </w:t>
      </w:r>
      <w:r>
        <w:t xml:space="preserve">- Engineering months per product: 1.2-1.5 FTE-months (platform approach 60-70% more efficient)</w:t>
      </w:r>
      <w:r>
        <w:t xml:space="preserve"> </w:t>
      </w:r>
      <w:r>
        <w:t xml:space="preserve">- Total output: 20-25 product families, 50K-75K lines of code</w:t>
      </w:r>
    </w:p>
    <w:p>
      <w:pPr>
        <w:pStyle w:val="BodyText"/>
      </w:pPr>
      <w:r>
        <w:rPr>
          <w:b/>
          <w:bCs/>
        </w:rPr>
        <w:t xml:space="preserve">Ongoing Operations Cost</w:t>
      </w:r>
      <w:r>
        <w:t xml:space="preserve"> </w:t>
      </w:r>
      <w:r>
        <w:t xml:space="preserve">(post-Phase 3):</w:t>
      </w:r>
      <w:r>
        <w:t xml:space="preserve"> </w:t>
      </w:r>
      <w:r>
        <w:t xml:space="preserve">- Year 1: $558K/year (personnel $410K + infrastructure $48K + marketing $100K)</w:t>
      </w:r>
      <w:r>
        <w:t xml:space="preserve"> </w:t>
      </w:r>
      <w:r>
        <w:t xml:space="preserve">- Year 2: $650K/year (15% increase for scaling)</w:t>
      </w:r>
      <w:r>
        <w:t xml:space="preserve"> </w:t>
      </w:r>
      <w:r>
        <w:t xml:space="preserve">- Year 3: $750K/year (15% increase)</w:t>
      </w:r>
      <w:r>
        <w:t xml:space="preserve"> </w:t>
      </w:r>
      <w:r>
        <w:t xml:space="preserve">-</w:t>
      </w:r>
      <w:r>
        <w:t xml:space="preserve"> </w:t>
      </w:r>
      <w:r>
        <w:rPr>
          <w:b/>
          <w:bCs/>
        </w:rPr>
        <w:t xml:space="preserve">Operating margin</w:t>
      </w:r>
      <w:r>
        <w:t xml:space="preserve">: 63% (Year 1) improving to 85% (Year 3) as revenue scales</w:t>
      </w:r>
    </w:p>
    <w:bookmarkEnd w:id="70"/>
    <w:bookmarkStart w:id="71" w:name="risk-management"/>
    <w:p>
      <w:pPr>
        <w:pStyle w:val="Heading3"/>
      </w:pPr>
      <w:r>
        <w:rPr>
          <w:rStyle w:val="SectionNumber"/>
        </w:rPr>
        <w:t xml:space="preserve">1.8.6</w:t>
      </w:r>
      <w:r>
        <w:tab/>
      </w:r>
      <w:r>
        <w:t xml:space="preserve">Risk Management</w:t>
      </w:r>
    </w:p>
    <w:p>
      <w:pPr>
        <w:pStyle w:val="FirstParagraph"/>
      </w:pPr>
      <w:r>
        <w:rPr>
          <w:b/>
          <w:bCs/>
        </w:rPr>
        <w:t xml:space="preserve">Critical Path Items</w:t>
      </w:r>
      <w:r>
        <w:t xml:space="preserve">:</w:t>
      </w:r>
      <w:r>
        <w:t xml:space="preserve"> </w:t>
      </w:r>
      <w:r>
        <w:t xml:space="preserve">1. Architecture design (Week 3-4): Delays cascade through entire project</w:t>
      </w:r>
      <w:r>
        <w:t xml:space="preserve"> </w:t>
      </w:r>
      <w:r>
        <w:t xml:space="preserve">2. Verification framework (Week 5-6): Core technology enabler; must be performant</w:t>
      </w:r>
      <w:r>
        <w:t xml:space="preserve"> </w:t>
      </w:r>
      <w:r>
        <w:t xml:space="preserve">3. AI model integration (Week 7-8): Critical for value proposition</w:t>
      </w:r>
      <w:r>
        <w:t xml:space="preserve"> </w:t>
      </w:r>
      <w:r>
        <w:t xml:space="preserve">4. Beta deployment (Week 13): First real-world validation</w:t>
      </w:r>
    </w:p>
    <w:p>
      <w:pPr>
        <w:pStyle w:val="BodyText"/>
      </w:pPr>
      <w:r>
        <w:rPr>
          <w:b/>
          <w:bCs/>
        </w:rPr>
        <w:t xml:space="preserve">Mitigation Strategies</w:t>
      </w:r>
      <w:r>
        <w:t xml:space="preserve">:</w:t>
      </w:r>
      <w:r>
        <w:t xml:space="preserve"> </w:t>
      </w:r>
      <w:r>
        <w:t xml:space="preserve">- Parallel exploration during architecture phase to avoid redesign</w:t>
      </w:r>
      <w:r>
        <w:t xml:space="preserve"> </w:t>
      </w:r>
      <w:r>
        <w:t xml:space="preserve">- Proof-of-concept verification implementation during architecture to validate feasibility</w:t>
      </w:r>
      <w:r>
        <w:t xml:space="preserve"> </w:t>
      </w:r>
      <w:r>
        <w:t xml:space="preserve">- Secure SRS reference datasets by Week 4 to enable parallel model training</w:t>
      </w:r>
      <w:r>
        <w:t xml:space="preserve"> </w:t>
      </w:r>
      <w:r>
        <w:t xml:space="preserve">- Pre-qualify beta sites during Month 2 to ensure deployment readiness</w:t>
      </w:r>
    </w:p>
    <w:p>
      <w:pPr>
        <w:pStyle w:val="BodyText"/>
      </w:pPr>
      <w:r>
        <w:rPr>
          <w:b/>
          <w:bCs/>
        </w:rPr>
        <w:t xml:space="preserve">Contingency Reserve</w:t>
      </w:r>
      <w:r>
        <w:t xml:space="preserve">: $130K (15% of total budget) allocated for:</w:t>
      </w:r>
      <w:r>
        <w:t xml:space="preserve"> </w:t>
      </w:r>
      <w:r>
        <w:t xml:space="preserve">- Engineering resource gaps/overruns: $60K</w:t>
      </w:r>
      <w:r>
        <w:t xml:space="preserve"> </w:t>
      </w:r>
      <w:r>
        <w:t xml:space="preserve">- Infrastructure/tools underestimation: $20K</w:t>
      </w:r>
      <w:r>
        <w:t xml:space="preserve"> </w:t>
      </w:r>
      <w:r>
        <w:t xml:space="preserve">- Marketing/launch costs: $20K</w:t>
      </w:r>
      <w:r>
        <w:t xml:space="preserve"> </w:t>
      </w:r>
      <w:r>
        <w:t xml:space="preserve">- Unplanned requirements: $30K</w:t>
      </w:r>
    </w:p>
    <w:p>
      <w:pPr>
        <w:pStyle w:val="BodyText"/>
      </w:pPr>
      <w:r>
        <w:rPr>
          <w:b/>
          <w:bCs/>
        </w:rPr>
        <w:t xml:space="preserve">Phase Gate Reviews</w:t>
      </w:r>
      <w:r>
        <w:t xml:space="preserve">:</w:t>
      </w:r>
      <w:r>
        <w:t xml:space="preserve"> </w:t>
      </w:r>
      <w:r>
        <w:t xml:space="preserve">-</w:t>
      </w:r>
      <w:r>
        <w:t xml:space="preserve"> </w:t>
      </w:r>
      <w:r>
        <w:rPr>
          <w:b/>
          <w:bCs/>
        </w:rPr>
        <w:t xml:space="preserve">Phase 1 Gate (Month 4)</w:t>
      </w:r>
      <w:r>
        <w:t xml:space="preserve">: Go/No-Go decision based on technical feasibility, user acceptance, commercial viability</w:t>
      </w:r>
      <w:r>
        <w:t xml:space="preserve"> </w:t>
      </w:r>
      <w:r>
        <w:t xml:space="preserve">-</w:t>
      </w:r>
      <w:r>
        <w:t xml:space="preserve"> </w:t>
      </w:r>
      <w:r>
        <w:rPr>
          <w:b/>
          <w:bCs/>
        </w:rPr>
        <w:t xml:space="preserve">Phase 2 Gate (Month 7)</w:t>
      </w:r>
      <w:r>
        <w:t xml:space="preserve">: Validate Phase 3 resource plan based on code reuse rates, development velocity</w:t>
      </w:r>
      <w:r>
        <w:t xml:space="preserve"> </w:t>
      </w:r>
      <w:r>
        <w:t xml:space="preserve">-</w:t>
      </w:r>
      <w:r>
        <w:t xml:space="preserve"> </w:t>
      </w:r>
      <w:r>
        <w:rPr>
          <w:b/>
          <w:bCs/>
        </w:rPr>
        <w:t xml:space="preserve">Phase 3 Gate (Month 13)</w:t>
      </w:r>
      <w:r>
        <w:t xml:space="preserve">: Confirm steady-state operations team and transition plan based on revenue traction</w:t>
      </w:r>
    </w:p>
    <w:p>
      <w:r>
        <w:pict>
          <v:rect style="width:0;height:1.5pt" o:hralign="center" o:hrstd="t" o:hr="t"/>
        </w:pict>
      </w:r>
    </w:p>
    <w:bookmarkEnd w:id="71"/>
    <w:bookmarkEnd w:id="72"/>
    <w:bookmarkStart w:id="84" w:name="financial-analysis"/>
    <w:p>
      <w:pPr>
        <w:pStyle w:val="Heading2"/>
      </w:pPr>
      <w:r>
        <w:rPr>
          <w:rStyle w:val="SectionNumber"/>
        </w:rPr>
        <w:t xml:space="preserve">1.9</w:t>
      </w:r>
      <w:r>
        <w:tab/>
      </w:r>
      <w:r>
        <w:t xml:space="preserve">Financial Analysis</w:t>
      </w:r>
    </w:p>
    <w:bookmarkStart w:id="75" w:name="revenue-model"/>
    <w:p>
      <w:pPr>
        <w:pStyle w:val="Heading3"/>
      </w:pPr>
      <w:r>
        <w:rPr>
          <w:rStyle w:val="SectionNumber"/>
        </w:rPr>
        <w:t xml:space="preserve">1.9.1</w:t>
      </w:r>
      <w:r>
        <w:tab/>
      </w:r>
      <w:r>
        <w:t xml:space="preserve">Revenue Model</w:t>
      </w:r>
    </w:p>
    <w:bookmarkStart w:id="73" w:name="tiered-saas-pricing"/>
    <w:p>
      <w:pPr>
        <w:pStyle w:val="Heading4"/>
      </w:pPr>
      <w:r>
        <w:rPr>
          <w:rStyle w:val="SectionNumber"/>
        </w:rPr>
        <w:t xml:space="preserve">1.9.1.1</w:t>
      </w:r>
      <w:r>
        <w:tab/>
      </w:r>
      <w:r>
        <w:t xml:space="preserve">Tiered SaaS Pricing</w:t>
      </w:r>
    </w:p>
    <w:p>
      <w:pPr>
        <w:pStyle w:val="FirstParagraph"/>
      </w:pPr>
      <w:r>
        <w:rPr>
          <w:b/>
          <w:bCs/>
        </w:rPr>
        <w:t xml:space="preserve">Academic Tier</w:t>
      </w:r>
      <w:r>
        <w:t xml:space="preserve">: $10K-25K/year per research group</w:t>
      </w:r>
      <w:r>
        <w:t xml:space="preserve"> </w:t>
      </w:r>
      <w:r>
        <w:t xml:space="preserve">- 5-20 named users; 50-200 verified analyses/month; 1-5 TB storage</w:t>
      </w:r>
      <w:r>
        <w:t xml:space="preserve"> </w:t>
      </w:r>
      <w:r>
        <w:t xml:space="preserve">- Cloud SaaS only; community + email support (48-72 hour response)</w:t>
      </w:r>
      <w:r>
        <w:t xml:space="preserve"> </w:t>
      </w:r>
      <w:r>
        <w:t xml:space="preserve">- Basic formal verification; standard AI analysis; instrument integrations</w:t>
      </w:r>
      <w:r>
        <w:t xml:space="preserve"> </w:t>
      </w:r>
      <w:r>
        <w:t xml:space="preserve">- Value proposition:</w:t>
      </w:r>
      <w:r>
        <w:t xml:space="preserve"> </w:t>
      </w:r>
      <w:r>
        <w:t xml:space="preserve">“Publish with confidence—formal verification guarantees correctness”</w:t>
      </w:r>
      <w:r>
        <w:t xml:space="preserve"> </w:t>
      </w:r>
      <w:r>
        <w:t xml:space="preserve">- Target LTV/CAC: 3-10x</w:t>
      </w:r>
    </w:p>
    <w:p>
      <w:pPr>
        <w:pStyle w:val="BodyText"/>
      </w:pPr>
      <w:r>
        <w:rPr>
          <w:b/>
          <w:bCs/>
        </w:rPr>
        <w:t xml:space="preserve">Professional Tier</w:t>
      </w:r>
      <w:r>
        <w:t xml:space="preserve">: $50K-150K/year per site/team</w:t>
      </w:r>
      <w:r>
        <w:t xml:space="preserve"> </w:t>
      </w:r>
      <w:r>
        <w:t xml:space="preserve">- 10-50 named users; 500-2,000 verified analyses/month; 10-50 TB storage</w:t>
      </w:r>
      <w:r>
        <w:t xml:space="preserve"> </w:t>
      </w:r>
      <w:r>
        <w:t xml:space="preserve">- FDA 21 CFR Part 11, ISO 17025 compliance automation; priority support (4-8 hour response)</w:t>
      </w:r>
      <w:r>
        <w:t xml:space="preserve"> </w:t>
      </w:r>
      <w:r>
        <w:t xml:space="preserve">- Advanced formal verification; custom AI models; hybrid deployment (cloud/on-prem)</w:t>
      </w:r>
      <w:r>
        <w:t xml:space="preserve"> </w:t>
      </w:r>
      <w:r>
        <w:t xml:space="preserve">- Value proposition:</w:t>
      </w:r>
      <w:r>
        <w:t xml:space="preserve"> </w:t>
      </w:r>
      <w:r>
        <w:t xml:space="preserve">“Automate compliance—reduce validation from 6 months to 6 weeks”</w:t>
      </w:r>
      <w:r>
        <w:t xml:space="preserve"> </w:t>
      </w:r>
      <w:r>
        <w:t xml:space="preserve">- Target LTV/CAC: 5-10x</w:t>
      </w:r>
    </w:p>
    <w:p>
      <w:pPr>
        <w:pStyle w:val="BodyText"/>
      </w:pPr>
      <w:r>
        <w:rPr>
          <w:b/>
          <w:bCs/>
        </w:rPr>
        <w:t xml:space="preserve">Enterprise Tier</w:t>
      </w:r>
      <w:r>
        <w:t xml:space="preserve">: $150K-500K+/year multi-site</w:t>
      </w:r>
      <w:r>
        <w:t xml:space="preserve"> </w:t>
      </w:r>
      <w:r>
        <w:t xml:space="preserve">- Unlimited users/analyses; 100+ TB storage or on-premises</w:t>
      </w:r>
      <w:r>
        <w:t xml:space="preserve"> </w:t>
      </w:r>
      <w:r>
        <w:t xml:space="preserve">- Full compliance automation (DO-178C, ISO 26262, GMP); dedicated customer success manager</w:t>
      </w:r>
      <w:r>
        <w:t xml:space="preserve"> </w:t>
      </w:r>
      <w:r>
        <w:t xml:space="preserve">- 24/7 support (1-hour response); custom integrations; source code escrow</w:t>
      </w:r>
      <w:r>
        <w:t xml:space="preserve"> </w:t>
      </w:r>
      <w:r>
        <w:t xml:space="preserve">- Value proposition:</w:t>
      </w:r>
      <w:r>
        <w:t xml:space="preserve"> </w:t>
      </w:r>
      <w:r>
        <w:t xml:space="preserve">“Enterprise-scale verified analysis with $1M-10M annual ROI”</w:t>
      </w:r>
      <w:r>
        <w:t xml:space="preserve"> </w:t>
      </w:r>
      <w:r>
        <w:t xml:space="preserve">- Target LTV/CAC: 10-33x</w:t>
      </w:r>
    </w:p>
    <w:p>
      <w:pPr>
        <w:pStyle w:val="BodyText"/>
      </w:pPr>
      <w:r>
        <w:rPr>
          <w:b/>
          <w:bCs/>
        </w:rPr>
        <w:t xml:space="preserve">On-Premises/Airgap</w:t>
      </w:r>
      <w:r>
        <w:t xml:space="preserve">: $200K-1M one-time + $50K-150K/year maintenance</w:t>
      </w:r>
      <w:r>
        <w:t xml:space="preserve"> </w:t>
      </w:r>
      <w:r>
        <w:t xml:space="preserve">- Perpetual license for regulatory/security requirements (pharmaceutical validated systems, aerospace classified)</w:t>
      </w:r>
      <w:r>
        <w:t xml:space="preserve"> </w:t>
      </w:r>
      <w:r>
        <w:t xml:space="preserve">- Priced at 3-5x annual subscription to reflect higher support costs</w:t>
      </w:r>
      <w:r>
        <w:t xml:space="preserve"> </w:t>
      </w:r>
      <w:r>
        <w:t xml:space="preserve">- Professional services for deployment: $100K-300K</w:t>
      </w:r>
    </w:p>
    <w:bookmarkEnd w:id="73"/>
    <w:bookmarkStart w:id="74" w:name="X8a8d3032f1070c918fc252ff94fed0875790efa"/>
    <w:p>
      <w:pPr>
        <w:pStyle w:val="Heading4"/>
      </w:pPr>
      <w:r>
        <w:rPr>
          <w:rStyle w:val="SectionNumber"/>
        </w:rPr>
        <w:t xml:space="preserve">1.9.1.2</w:t>
      </w:r>
      <w:r>
        <w:tab/>
      </w:r>
      <w:r>
        <w:t xml:space="preserve">Professional Services (30-40% of total revenue)</w:t>
      </w:r>
    </w:p>
    <w:p>
      <w:pPr>
        <w:pStyle w:val="Compact"/>
        <w:numPr>
          <w:ilvl w:val="0"/>
          <w:numId w:val="1015"/>
        </w:numPr>
      </w:pPr>
      <w:r>
        <w:rPr>
          <w:b/>
          <w:bCs/>
        </w:rPr>
        <w:t xml:space="preserve">Validation consulting</w:t>
      </w:r>
      <w:r>
        <w:t xml:space="preserve">: $200-400/hour or $50K-500K per project (50-70% gross margin)</w:t>
      </w:r>
    </w:p>
    <w:p>
      <w:pPr>
        <w:pStyle w:val="Compact"/>
        <w:numPr>
          <w:ilvl w:val="0"/>
          <w:numId w:val="1015"/>
        </w:numPr>
      </w:pPr>
      <w:r>
        <w:rPr>
          <w:b/>
          <w:bCs/>
        </w:rPr>
        <w:t xml:space="preserve">Custom integrations</w:t>
      </w:r>
      <w:r>
        <w:t xml:space="preserve">: $150-300/hour or $30K-200K per integration (40-60% margin)</w:t>
      </w:r>
    </w:p>
    <w:p>
      <w:pPr>
        <w:pStyle w:val="Compact"/>
        <w:numPr>
          <w:ilvl w:val="0"/>
          <w:numId w:val="1015"/>
        </w:numPr>
      </w:pPr>
      <w:r>
        <w:rPr>
          <w:b/>
          <w:bCs/>
        </w:rPr>
        <w:t xml:space="preserve">Training</w:t>
      </w:r>
      <w:r>
        <w:t xml:space="preserve">: $2K-5K per day on-site, $500-1.5K per user virtual (60-80% margin)</w:t>
      </w:r>
    </w:p>
    <w:p>
      <w:pPr>
        <w:pStyle w:val="Compact"/>
        <w:numPr>
          <w:ilvl w:val="0"/>
          <w:numId w:val="1015"/>
        </w:numPr>
      </w:pPr>
      <w:r>
        <w:rPr>
          <w:b/>
          <w:bCs/>
        </w:rPr>
        <w:t xml:space="preserve">Managed services</w:t>
      </w:r>
      <w:r>
        <w:t xml:space="preserve">: $10K-50K/month retainer (50-70% margin)</w:t>
      </w:r>
    </w:p>
    <w:bookmarkEnd w:id="74"/>
    <w:bookmarkEnd w:id="75"/>
    <w:bookmarkStart w:id="77" w:name="revenue-projections"/>
    <w:p>
      <w:pPr>
        <w:pStyle w:val="Heading3"/>
      </w:pPr>
      <w:r>
        <w:rPr>
          <w:rStyle w:val="SectionNumber"/>
        </w:rPr>
        <w:t xml:space="preserve">1.9.2</w:t>
      </w:r>
      <w:r>
        <w:tab/>
      </w:r>
      <w:r>
        <w:t xml:space="preserve">Revenue Projections</w:t>
      </w:r>
    </w:p>
    <w:bookmarkStart w:id="76" w:name="customer-acquisition-timeline"/>
    <w:p>
      <w:pPr>
        <w:pStyle w:val="Heading4"/>
      </w:pPr>
      <w:r>
        <w:rPr>
          <w:rStyle w:val="SectionNumber"/>
        </w:rPr>
        <w:t xml:space="preserve">1.9.2.1</w:t>
      </w:r>
      <w:r>
        <w:tab/>
      </w:r>
      <w:r>
        <w:t xml:space="preserve">Customer Acquisition Timeline</w:t>
      </w:r>
    </w:p>
    <w:tbl>
      <w:tblPr>
        <w:tblStyle w:val="Table"/>
        <w:tblW w:type="pct" w:w="5000"/>
        <w:tblLayout w:type="fixed"/>
        <w:tblLook w:firstRow="1" w:lastRow="0" w:firstColumn="0" w:lastColumn="0" w:noHBand="0" w:noVBand="0" w:val="0020"/>
      </w:tblPr>
      <w:tblGrid>
        <w:gridCol w:w="728"/>
        <w:gridCol w:w="1911"/>
        <w:gridCol w:w="1911"/>
        <w:gridCol w:w="1638"/>
        <w:gridCol w:w="1729"/>
      </w:tblGrid>
      <w:tr>
        <w:trPr>
          <w:tblHeader w:val="on"/>
        </w:trPr>
        <w:tc>
          <w:tcPr/>
          <w:p>
            <w:pPr>
              <w:pStyle w:val="Compact"/>
            </w:pPr>
            <w:r>
              <w:t xml:space="preserve">Period</w:t>
            </w:r>
          </w:p>
        </w:tc>
        <w:tc>
          <w:tcPr/>
          <w:p>
            <w:pPr>
              <w:pStyle w:val="Compact"/>
            </w:pPr>
            <w:r>
              <w:t xml:space="preserve">Customer Acquisition</w:t>
            </w:r>
          </w:p>
        </w:tc>
        <w:tc>
          <w:tcPr/>
          <w:p>
            <w:pPr>
              <w:pStyle w:val="Compact"/>
            </w:pPr>
            <w:r>
              <w:t xml:space="preserve">Cumulative Customers</w:t>
            </w:r>
          </w:p>
        </w:tc>
        <w:tc>
          <w:tcPr/>
          <w:p>
            <w:pPr>
              <w:pStyle w:val="Compact"/>
            </w:pPr>
            <w:r>
              <w:t xml:space="preserve">Average Deal Size</w:t>
            </w:r>
          </w:p>
        </w:tc>
        <w:tc>
          <w:tcPr/>
          <w:p>
            <w:pPr>
              <w:pStyle w:val="Compact"/>
            </w:pPr>
            <w:r>
              <w:t xml:space="preserve">Cumulative Revenue</w:t>
            </w:r>
          </w:p>
        </w:tc>
      </w:tr>
      <w:tr>
        <w:tc>
          <w:tcPr/>
          <w:p>
            <w:pPr>
              <w:pStyle w:val="Compact"/>
            </w:pPr>
            <w:r>
              <w:t xml:space="preserve">Phase 1 (Month 4)</w:t>
            </w:r>
          </w:p>
        </w:tc>
        <w:tc>
          <w:tcPr/>
          <w:p>
            <w:pPr>
              <w:pStyle w:val="Compact"/>
            </w:pPr>
            <w:r>
              <w:t xml:space="preserve">0 (beta only)</w:t>
            </w:r>
          </w:p>
        </w:tc>
        <w:tc>
          <w:tcPr/>
          <w:p>
            <w:pPr>
              <w:pStyle w:val="Compact"/>
            </w:pPr>
            <w:r>
              <w:t xml:space="preserve">3-5 beta</w:t>
            </w:r>
          </w:p>
        </w:tc>
        <w:tc>
          <w:tcPr/>
          <w:p>
            <w:pPr>
              <w:pStyle w:val="Compact"/>
            </w:pPr>
            <w:r>
              <w:t xml:space="preserve">$0</w:t>
            </w:r>
          </w:p>
        </w:tc>
        <w:tc>
          <w:tcPr/>
          <w:p>
            <w:pPr>
              <w:pStyle w:val="Compact"/>
            </w:pPr>
            <w:r>
              <w:t xml:space="preserve">$0</w:t>
            </w:r>
          </w:p>
        </w:tc>
      </w:tr>
      <w:tr>
        <w:tc>
          <w:tcPr/>
          <w:p>
            <w:pPr>
              <w:pStyle w:val="Compact"/>
            </w:pPr>
            <w:r>
              <w:t xml:space="preserve">Phase 2 (Month 7)</w:t>
            </w:r>
          </w:p>
        </w:tc>
        <w:tc>
          <w:tcPr/>
          <w:p>
            <w:pPr>
              <w:pStyle w:val="Compact"/>
            </w:pPr>
            <w:r>
              <w:t xml:space="preserve">3-5</w:t>
            </w:r>
          </w:p>
        </w:tc>
        <w:tc>
          <w:tcPr/>
          <w:p>
            <w:pPr>
              <w:pStyle w:val="Compact"/>
            </w:pPr>
            <w:r>
              <w:t xml:space="preserve">3-5</w:t>
            </w:r>
          </w:p>
        </w:tc>
        <w:tc>
          <w:tcPr/>
          <w:p>
            <w:pPr>
              <w:pStyle w:val="Compact"/>
            </w:pPr>
            <w:r>
              <w:t xml:space="preserve">$30K</w:t>
            </w:r>
          </w:p>
        </w:tc>
        <w:tc>
          <w:tcPr/>
          <w:p>
            <w:pPr>
              <w:pStyle w:val="Compact"/>
            </w:pPr>
            <w:r>
              <w:t xml:space="preserve">$90K-150K</w:t>
            </w:r>
          </w:p>
        </w:tc>
      </w:tr>
      <w:tr>
        <w:tc>
          <w:tcPr/>
          <w:p>
            <w:pPr>
              <w:pStyle w:val="Compact"/>
            </w:pPr>
            <w:r>
              <w:t xml:space="preserve">Phase 3 (Month 13)</w:t>
            </w:r>
          </w:p>
        </w:tc>
        <w:tc>
          <w:tcPr/>
          <w:p>
            <w:pPr>
              <w:pStyle w:val="Compact"/>
            </w:pPr>
            <w:r>
              <w:t xml:space="preserve">12-20 additional</w:t>
            </w:r>
          </w:p>
        </w:tc>
        <w:tc>
          <w:tcPr/>
          <w:p>
            <w:pPr>
              <w:pStyle w:val="Compact"/>
            </w:pPr>
            <w:r>
              <w:t xml:space="preserve">15-25</w:t>
            </w:r>
          </w:p>
        </w:tc>
        <w:tc>
          <w:tcPr/>
          <w:p>
            <w:pPr>
              <w:pStyle w:val="Compact"/>
            </w:pPr>
            <w:r>
              <w:t xml:space="preserve">$40K-50K</w:t>
            </w:r>
          </w:p>
        </w:tc>
        <w:tc>
          <w:tcPr/>
          <w:p>
            <w:pPr>
              <w:pStyle w:val="Compact"/>
            </w:pPr>
            <w:r>
              <w:t xml:space="preserve">$600K-1.25M</w:t>
            </w:r>
          </w:p>
        </w:tc>
      </w:tr>
      <w:tr>
        <w:tc>
          <w:tcPr/>
          <w:p>
            <w:pPr>
              <w:pStyle w:val="Compact"/>
            </w:pPr>
            <w:r>
              <w:t xml:space="preserve">Year 1 Post-Launch (Month 25)</w:t>
            </w:r>
          </w:p>
        </w:tc>
        <w:tc>
          <w:tcPr/>
          <w:p>
            <w:pPr>
              <w:pStyle w:val="Compact"/>
            </w:pPr>
            <w:r>
              <w:t xml:space="preserve">15-25 additional</w:t>
            </w:r>
          </w:p>
        </w:tc>
        <w:tc>
          <w:tcPr/>
          <w:p>
            <w:pPr>
              <w:pStyle w:val="Compact"/>
            </w:pPr>
            <w:r>
              <w:t xml:space="preserve">30-50</w:t>
            </w:r>
          </w:p>
        </w:tc>
        <w:tc>
          <w:tcPr/>
          <w:p>
            <w:pPr>
              <w:pStyle w:val="Compact"/>
            </w:pPr>
            <w:r>
              <w:t xml:space="preserve">$40K-50K</w:t>
            </w:r>
          </w:p>
        </w:tc>
        <w:tc>
          <w:tcPr/>
          <w:p>
            <w:pPr>
              <w:pStyle w:val="Compact"/>
            </w:pPr>
            <w:r>
              <w:t xml:space="preserve">$1.2M-2.0M ARR</w:t>
            </w:r>
          </w:p>
        </w:tc>
      </w:tr>
    </w:tbl>
    <w:p>
      <w:pPr>
        <w:pStyle w:val="BodyText"/>
      </w:pPr>
      <w:r>
        <w:rPr>
          <w:b/>
          <w:bCs/>
        </w:rPr>
        <w:t xml:space="preserve">Growth Trajectory</w:t>
      </w:r>
      <w:r>
        <w:t xml:space="preserve">:</w:t>
      </w:r>
      <w:r>
        <w:t xml:space="preserve"> </w:t>
      </w:r>
      <w:r>
        <w:t xml:space="preserve">-</w:t>
      </w:r>
      <w:r>
        <w:t xml:space="preserve"> </w:t>
      </w:r>
      <w:r>
        <w:rPr>
          <w:b/>
          <w:bCs/>
        </w:rPr>
        <w:t xml:space="preserve">Year 1</w:t>
      </w:r>
      <w:r>
        <w:t xml:space="preserve">: $1.2M-2.0M ARR (30-50 customers)</w:t>
      </w:r>
      <w:r>
        <w:t xml:space="preserve"> </w:t>
      </w:r>
      <w:r>
        <w:t xml:space="preserve">-</w:t>
      </w:r>
      <w:r>
        <w:t xml:space="preserve"> </w:t>
      </w:r>
      <w:r>
        <w:rPr>
          <w:b/>
          <w:bCs/>
        </w:rPr>
        <w:t xml:space="preserve">Year 2</w:t>
      </w:r>
      <w:r>
        <w:t xml:space="preserve">: $3.0M ARR (customer base expansion + renewals/upsells)</w:t>
      </w:r>
      <w:r>
        <w:t xml:space="preserve"> </w:t>
      </w:r>
      <w:r>
        <w:t xml:space="preserve">-</w:t>
      </w:r>
      <w:r>
        <w:t xml:space="preserve"> </w:t>
      </w:r>
      <w:r>
        <w:rPr>
          <w:b/>
          <w:bCs/>
        </w:rPr>
        <w:t xml:space="preserve">Year 3</w:t>
      </w:r>
      <w:r>
        <w:t xml:space="preserve">: $5.0M ARR (market penetration acceleration)</w:t>
      </w:r>
      <w:r>
        <w:t xml:space="preserve"> </w:t>
      </w:r>
      <w:r>
        <w:t xml:space="preserve">-</w:t>
      </w:r>
      <w:r>
        <w:t xml:space="preserve"> </w:t>
      </w:r>
      <w:r>
        <w:rPr>
          <w:b/>
          <w:bCs/>
        </w:rPr>
        <w:t xml:space="preserve">Year 4-5</w:t>
      </w:r>
      <w:r>
        <w:t xml:space="preserve">: $8M-12M ARR (category leadership position)</w:t>
      </w:r>
    </w:p>
    <w:p>
      <w:pPr>
        <w:pStyle w:val="BodyText"/>
      </w:pPr>
      <w:r>
        <w:rPr>
          <w:b/>
          <w:bCs/>
        </w:rPr>
        <w:t xml:space="preserve">Revenue Mix</w:t>
      </w:r>
      <w:r>
        <w:t xml:space="preserve">:</w:t>
      </w:r>
      <w:r>
        <w:t xml:space="preserve"> </w:t>
      </w:r>
      <w:r>
        <w:t xml:space="preserve">- Subscription: 60-70% (Year 1) → 70-80% (mature)</w:t>
      </w:r>
      <w:r>
        <w:t xml:space="preserve"> </w:t>
      </w:r>
      <w:r>
        <w:t xml:space="preserve">- Professional services: 30-40% (Year 1) → 20-30% (mature)</w:t>
      </w:r>
    </w:p>
    <w:bookmarkEnd w:id="76"/>
    <w:bookmarkEnd w:id="77"/>
    <w:bookmarkStart w:id="78" w:name="unit-economics"/>
    <w:p>
      <w:pPr>
        <w:pStyle w:val="Heading3"/>
      </w:pPr>
      <w:r>
        <w:rPr>
          <w:rStyle w:val="SectionNumber"/>
        </w:rPr>
        <w:t xml:space="preserve">1.9.3</w:t>
      </w:r>
      <w:r>
        <w:tab/>
      </w:r>
      <w:r>
        <w:t xml:space="preserve">Unit Economics</w:t>
      </w:r>
    </w:p>
    <w:p>
      <w:pPr>
        <w:pStyle w:val="FirstParagraph"/>
      </w:pPr>
      <w:r>
        <w:rPr>
          <w:b/>
          <w:bCs/>
        </w:rPr>
        <w:t xml:space="preserve">Customer Acquisition Cost (CAC)</w:t>
      </w:r>
      <w:r>
        <w:t xml:space="preserve">: $10K-15K</w:t>
      </w:r>
      <w:r>
        <w:t xml:space="preserve"> </w:t>
      </w:r>
      <w:r>
        <w:t xml:space="preserve">- Sales effort: $5K-8K (0.5-1 month sales cycle, $10K/month loaded cost)</w:t>
      </w:r>
      <w:r>
        <w:t xml:space="preserve"> </w:t>
      </w:r>
      <w:r>
        <w:t xml:space="preserve">- Marketing: $2K-3K (allocated campaign costs)</w:t>
      </w:r>
      <w:r>
        <w:t xml:space="preserve"> </w:t>
      </w:r>
      <w:r>
        <w:t xml:space="preserve">- Pre-sales technical support: $3K-4K (demos, POCs, evaluations)</w:t>
      </w:r>
    </w:p>
    <w:p>
      <w:pPr>
        <w:pStyle w:val="BodyText"/>
      </w:pPr>
      <w:r>
        <w:rPr>
          <w:b/>
          <w:bCs/>
        </w:rPr>
        <w:t xml:space="preserve">Customer Lifetime Value (LTV)</w:t>
      </w:r>
      <w:r>
        <w:t xml:space="preserve">: $60K-100K</w:t>
      </w:r>
      <w:r>
        <w:t xml:space="preserve"> </w:t>
      </w:r>
      <w:r>
        <w:t xml:space="preserve">- Average initial purchase: $40K</w:t>
      </w:r>
      <w:r>
        <w:t xml:space="preserve"> </w:t>
      </w:r>
      <w:r>
        <w:t xml:space="preserve">- Annual renewal/expansion: $5K-10K/year</w:t>
      </w:r>
      <w:r>
        <w:t xml:space="preserve"> </w:t>
      </w:r>
      <w:r>
        <w:t xml:space="preserve">- Customer lifetime: 4-6 years (scientific instruments have long replacement cycles)</w:t>
      </w:r>
    </w:p>
    <w:p>
      <w:pPr>
        <w:pStyle w:val="BodyText"/>
      </w:pPr>
      <w:r>
        <w:rPr>
          <w:b/>
          <w:bCs/>
        </w:rPr>
        <w:t xml:space="preserve">LTV/CAC Ratio</w:t>
      </w:r>
      <w:r>
        <w:t xml:space="preserve">: 4-7 (healthy SaaS benchmark: &gt;3)</w:t>
      </w:r>
      <w:r>
        <w:t xml:space="preserve"> </w:t>
      </w:r>
      <w:r>
        <w:rPr>
          <w:b/>
          <w:bCs/>
        </w:rPr>
        <w:t xml:space="preserve">CAC Payback Period</w:t>
      </w:r>
      <w:r>
        <w:t xml:space="preserve">: 6-12 months (industry benchmark: 12-18 months)</w:t>
      </w:r>
    </w:p>
    <w:p>
      <w:pPr>
        <w:pStyle w:val="BodyText"/>
      </w:pPr>
      <w:r>
        <w:rPr>
          <w:b/>
          <w:bCs/>
        </w:rPr>
        <w:t xml:space="preserve">Gross Margin</w:t>
      </w:r>
      <w:r>
        <w:t xml:space="preserve">:</w:t>
      </w:r>
      <w:r>
        <w:t xml:space="preserve"> </w:t>
      </w:r>
      <w:r>
        <w:t xml:space="preserve">- Software licensing: 90-95% (minimal COGS)</w:t>
      </w:r>
      <w:r>
        <w:t xml:space="preserve"> </w:t>
      </w:r>
      <w:r>
        <w:t xml:space="preserve">- Infrastructure (cloud hosting): 5-10% of revenue</w:t>
      </w:r>
      <w:r>
        <w:t xml:space="preserve"> </w:t>
      </w:r>
      <w:r>
        <w:t xml:space="preserve">-</w:t>
      </w:r>
      <w:r>
        <w:t xml:space="preserve"> </w:t>
      </w:r>
      <w:r>
        <w:rPr>
          <w:b/>
          <w:bCs/>
        </w:rPr>
        <w:t xml:space="preserve">Net gross margin: 85-90%</w:t>
      </w:r>
    </w:p>
    <w:bookmarkEnd w:id="78"/>
    <w:bookmarkStart w:id="82" w:name="investment-and-returns"/>
    <w:p>
      <w:pPr>
        <w:pStyle w:val="Heading3"/>
      </w:pPr>
      <w:r>
        <w:rPr>
          <w:rStyle w:val="SectionNumber"/>
        </w:rPr>
        <w:t xml:space="preserve">1.9.4</w:t>
      </w:r>
      <w:r>
        <w:tab/>
      </w:r>
      <w:r>
        <w:t xml:space="preserve">Investment and Returns</w:t>
      </w:r>
    </w:p>
    <w:bookmarkStart w:id="79" w:name="total-investment-required"/>
    <w:p>
      <w:pPr>
        <w:pStyle w:val="Heading4"/>
      </w:pPr>
      <w:r>
        <w:rPr>
          <w:rStyle w:val="SectionNumber"/>
        </w:rPr>
        <w:t xml:space="preserve">1.9.4.1</w:t>
      </w:r>
      <w:r>
        <w:tab/>
      </w:r>
      <w:r>
        <w:t xml:space="preserve">Total Investment Required</w:t>
      </w:r>
    </w:p>
    <w:p>
      <w:pPr>
        <w:pStyle w:val="FirstParagraph"/>
      </w:pPr>
      <w:r>
        <w:rPr>
          <w:b/>
          <w:bCs/>
        </w:rPr>
        <w:t xml:space="preserve">Development Investment</w:t>
      </w:r>
      <w:r>
        <w:t xml:space="preserve"> </w:t>
      </w:r>
      <w:r>
        <w:t xml:space="preserve">(13 months): $755K</w:t>
      </w:r>
      <w:r>
        <w:t xml:space="preserve"> </w:t>
      </w:r>
      <w:r>
        <w:t xml:space="preserve">- Phase 1: $155K (4 months)</w:t>
      </w:r>
      <w:r>
        <w:t xml:space="preserve"> </w:t>
      </w:r>
      <w:r>
        <w:t xml:space="preserve">- Phase 2: $187K (3 months)</w:t>
      </w:r>
      <w:r>
        <w:t xml:space="preserve"> </w:t>
      </w:r>
      <w:r>
        <w:t xml:space="preserve">- Phase 3: $520K (6 months)</w:t>
      </w:r>
      <w:r>
        <w:t xml:space="preserve"> </w:t>
      </w:r>
      <w:r>
        <w:t xml:space="preserve">- Contingency (15%): $113K</w:t>
      </w:r>
    </w:p>
    <w:p>
      <w:pPr>
        <w:pStyle w:val="BodyText"/>
      </w:pPr>
      <w:r>
        <w:rPr>
          <w:b/>
          <w:bCs/>
        </w:rPr>
        <w:t xml:space="preserve">Operations Investment</w:t>
      </w:r>
      <w:r>
        <w:t xml:space="preserve"> </w:t>
      </w:r>
      <w:r>
        <w:t xml:space="preserve">(Months 14-18, 5 months to break-even): $232K</w:t>
      </w:r>
      <w:r>
        <w:t xml:space="preserve"> </w:t>
      </w:r>
      <w:r>
        <w:t xml:space="preserve">- Steady-state operations: $558K/year = $46.5K/month × 5 months</w:t>
      </w:r>
    </w:p>
    <w:p>
      <w:pPr>
        <w:pStyle w:val="BodyText"/>
      </w:pPr>
      <w:r>
        <w:rPr>
          <w:b/>
          <w:bCs/>
        </w:rPr>
        <w:t xml:space="preserve">Total Investment to Break-Even</w:t>
      </w:r>
      <w:r>
        <w:t xml:space="preserve">: $1.1M</w:t>
      </w:r>
    </w:p>
    <w:p>
      <w:pPr>
        <w:pStyle w:val="BodyText"/>
      </w:pPr>
      <w:r>
        <w:rPr>
          <w:b/>
          <w:bCs/>
        </w:rPr>
        <w:t xml:space="preserve">Alternative: With Contingency Buffer</w:t>
      </w:r>
      <w:r>
        <w:t xml:space="preserve"> </w:t>
      </w:r>
      <w:r>
        <w:t xml:space="preserve">(18-month runway): $1.3M</w:t>
      </w:r>
      <w:r>
        <w:t xml:space="preserve"> </w:t>
      </w:r>
      <w:r>
        <w:t xml:space="preserve">- Development: $867K</w:t>
      </w:r>
      <w:r>
        <w:t xml:space="preserve"> </w:t>
      </w:r>
      <w:r>
        <w:t xml:space="preserve">- Operations: $465K (10 months buffer)</w:t>
      </w:r>
    </w:p>
    <w:bookmarkEnd w:id="79"/>
    <w:bookmarkStart w:id="80" w:name="return-on-investment-analysis"/>
    <w:p>
      <w:pPr>
        <w:pStyle w:val="Heading4"/>
      </w:pPr>
      <w:r>
        <w:rPr>
          <w:rStyle w:val="SectionNumber"/>
        </w:rPr>
        <w:t xml:space="preserve">1.9.4.2</w:t>
      </w:r>
      <w:r>
        <w:tab/>
      </w:r>
      <w:r>
        <w:t xml:space="preserve">Return on Investment Analysis</w:t>
      </w:r>
    </w:p>
    <w:p>
      <w:pPr>
        <w:pStyle w:val="FirstParagraph"/>
      </w:pPr>
      <w:r>
        <w:rPr>
          <w:b/>
          <w:bCs/>
        </w:rPr>
        <w:t xml:space="preserve">Scenario: Bootstrap with SRS Partnership</w:t>
      </w:r>
    </w:p>
    <w:p>
      <w:pPr>
        <w:pStyle w:val="BodyText"/>
      </w:pPr>
      <w:r>
        <w:rPr>
          <w:b/>
          <w:bCs/>
        </w:rPr>
        <w:t xml:space="preserve">Investment</w:t>
      </w:r>
      <w:r>
        <w:t xml:space="preserve">: $1.31M (development + Year 1 operations)</w:t>
      </w:r>
    </w:p>
    <w:p>
      <w:pPr>
        <w:pStyle w:val="BodyText"/>
      </w:pPr>
      <w:r>
        <w:rPr>
          <w:b/>
          <w:bCs/>
        </w:rPr>
        <w:t xml:space="preserve">Year 1 Returns</w:t>
      </w:r>
      <w:r>
        <w:t xml:space="preserve">:</w:t>
      </w:r>
      <w:r>
        <w:t xml:space="preserve"> </w:t>
      </w:r>
      <w:r>
        <w:t xml:space="preserve">- Revenue: $1.5M</w:t>
      </w:r>
      <w:r>
        <w:t xml:space="preserve"> </w:t>
      </w:r>
      <w:r>
        <w:t xml:space="preserve">- Operating profit: $1.5M × 63% margin = $945K</w:t>
      </w:r>
      <w:r>
        <w:t xml:space="preserve"> </w:t>
      </w:r>
      <w:r>
        <w:t xml:space="preserve">- Cumulative cash flow: -$1.31M + $945K = -$365K</w:t>
      </w:r>
    </w:p>
    <w:p>
      <w:pPr>
        <w:pStyle w:val="BodyText"/>
      </w:pPr>
      <w:r>
        <w:rPr>
          <w:b/>
          <w:bCs/>
        </w:rPr>
        <w:t xml:space="preserve">Year 2 Returns</w:t>
      </w:r>
      <w:r>
        <w:t xml:space="preserve">:</w:t>
      </w:r>
      <w:r>
        <w:t xml:space="preserve"> </w:t>
      </w:r>
      <w:r>
        <w:t xml:space="preserve">- Revenue: $3.0M</w:t>
      </w:r>
      <w:r>
        <w:t xml:space="preserve"> </w:t>
      </w:r>
      <w:r>
        <w:t xml:space="preserve">- Operating profit: $3.0M × 78% margin = $2.34M</w:t>
      </w:r>
      <w:r>
        <w:t xml:space="preserve"> </w:t>
      </w:r>
      <w:r>
        <w:t xml:space="preserve">- Cumulative cash flow: -$365K + $2.34M = +$1.98M</w:t>
      </w:r>
    </w:p>
    <w:p>
      <w:pPr>
        <w:pStyle w:val="BodyText"/>
      </w:pPr>
      <w:r>
        <w:rPr>
          <w:b/>
          <w:bCs/>
        </w:rPr>
        <w:t xml:space="preserve">Payback Period</w:t>
      </w:r>
      <w:r>
        <w:t xml:space="preserve">: 24 months (18 months operational break-even + 6 months development cost recovery)</w:t>
      </w:r>
    </w:p>
    <w:p>
      <w:pPr>
        <w:pStyle w:val="BodyText"/>
      </w:pPr>
      <w:r>
        <w:rPr>
          <w:b/>
          <w:bCs/>
        </w:rPr>
        <w:t xml:space="preserve">5-Year Cumulative Returns</w:t>
      </w:r>
      <w:r>
        <w:t xml:space="preserve">:</w:t>
      </w:r>
      <w:r>
        <w:t xml:space="preserve"> </w:t>
      </w:r>
      <w:r>
        <w:t xml:space="preserve">- Year 1-2 profit: $1.98M</w:t>
      </w:r>
      <w:r>
        <w:t xml:space="preserve"> </w:t>
      </w:r>
      <w:r>
        <w:t xml:space="preserve">- Year 3 profit: $5.0M × 85% = $4.25M</w:t>
      </w:r>
      <w:r>
        <w:t xml:space="preserve"> </w:t>
      </w:r>
      <w:r>
        <w:t xml:space="preserve">- Year 4-5 profit: $6M/year × 85% × 2 = $10.2M</w:t>
      </w:r>
      <w:r>
        <w:t xml:space="preserve"> </w:t>
      </w:r>
      <w:r>
        <w:t xml:space="preserve">-</w:t>
      </w:r>
      <w:r>
        <w:t xml:space="preserve"> </w:t>
      </w:r>
      <w:r>
        <w:rPr>
          <w:b/>
          <w:bCs/>
        </w:rPr>
        <w:t xml:space="preserve">Total 5-year profit: $16.43M</w:t>
      </w:r>
    </w:p>
    <w:p>
      <w:pPr>
        <w:pStyle w:val="BodyText"/>
      </w:pPr>
      <w:r>
        <w:rPr>
          <w:b/>
          <w:bCs/>
        </w:rPr>
        <w:t xml:space="preserve">5-Year ROI</w:t>
      </w:r>
      <w:r>
        <w:t xml:space="preserve">: 12.5x or</w:t>
      </w:r>
      <w:r>
        <w:t xml:space="preserve"> </w:t>
      </w:r>
      <w:r>
        <w:rPr>
          <w:b/>
          <w:bCs/>
        </w:rPr>
        <w:t xml:space="preserve">1,154%</w:t>
      </w:r>
    </w:p>
    <w:p>
      <w:pPr>
        <w:pStyle w:val="BodyText"/>
      </w:pPr>
      <w:r>
        <w:rPr>
          <w:b/>
          <w:bCs/>
        </w:rPr>
        <w:t xml:space="preserve">Internal Rate of Return (IRR)</w:t>
      </w:r>
      <w:r>
        <w:t xml:space="preserve">: ~45%</w:t>
      </w:r>
      <w:r>
        <w:t xml:space="preserve"> </w:t>
      </w:r>
      <w:r>
        <w:rPr>
          <w:b/>
          <w:bCs/>
        </w:rPr>
        <w:t xml:space="preserve">Net Present Value (NPV, 15% discount)</w:t>
      </w:r>
      <w:r>
        <w:t xml:space="preserve">: $10.2M</w:t>
      </w:r>
    </w:p>
    <w:bookmarkEnd w:id="80"/>
    <w:bookmarkStart w:id="81" w:name="sensitivity-analysis"/>
    <w:p>
      <w:pPr>
        <w:pStyle w:val="Heading4"/>
      </w:pPr>
      <w:r>
        <w:rPr>
          <w:rStyle w:val="SectionNumber"/>
        </w:rPr>
        <w:t xml:space="preserve">1.9.4.3</w:t>
      </w:r>
      <w:r>
        <w:tab/>
      </w:r>
      <w:r>
        <w:t xml:space="preserve">Sensitivity Analysis</w:t>
      </w:r>
    </w:p>
    <w:p>
      <w:pPr>
        <w:pStyle w:val="FirstParagraph"/>
      </w:pPr>
      <w:r>
        <w:rPr>
          <w:b/>
          <w:bCs/>
        </w:rPr>
        <w:t xml:space="preserve">Pessimistic Scenario</w:t>
      </w:r>
      <w:r>
        <w:t xml:space="preserve"> </w:t>
      </w:r>
      <w:r>
        <w:t xml:space="preserve">(50% lower market penetration):</w:t>
      </w:r>
      <w:r>
        <w:t xml:space="preserve"> </w:t>
      </w:r>
      <w:r>
        <w:t xml:space="preserve">- 5-year revenue: $6.3M</w:t>
      </w:r>
      <w:r>
        <w:t xml:space="preserve"> </w:t>
      </w:r>
      <w:r>
        <w:t xml:space="preserve">- 5-year profit: $4.7M</w:t>
      </w:r>
      <w:r>
        <w:t xml:space="preserve"> </w:t>
      </w:r>
      <w:r>
        <w:t xml:space="preserve">- ROI: 3.6x or</w:t>
      </w:r>
      <w:r>
        <w:t xml:space="preserve"> </w:t>
      </w:r>
      <w:r>
        <w:rPr>
          <w:b/>
          <w:bCs/>
        </w:rPr>
        <w:t xml:space="preserve">259%</w:t>
      </w:r>
      <w:r>
        <w:t xml:space="preserve"> </w:t>
      </w:r>
      <w:r>
        <w:t xml:space="preserve">- Payback: Year 4</w:t>
      </w:r>
      <w:r>
        <w:t xml:space="preserve"> </w:t>
      </w:r>
      <w:r>
        <w:t xml:space="preserve">-</w:t>
      </w:r>
      <w:r>
        <w:t xml:space="preserve"> </w:t>
      </w:r>
      <w:r>
        <w:rPr>
          <w:b/>
          <w:bCs/>
        </w:rPr>
        <w:t xml:space="preserve">Still strongly positive</w:t>
      </w:r>
    </w:p>
    <w:p>
      <w:pPr>
        <w:pStyle w:val="BodyText"/>
      </w:pPr>
      <w:r>
        <w:rPr>
          <w:b/>
          <w:bCs/>
        </w:rPr>
        <w:t xml:space="preserve">Optimistic Scenario</w:t>
      </w:r>
      <w:r>
        <w:t xml:space="preserve"> </w:t>
      </w:r>
      <w:r>
        <w:t xml:space="preserve">(50% higher market penetration):</w:t>
      </w:r>
      <w:r>
        <w:t xml:space="preserve"> </w:t>
      </w:r>
      <w:r>
        <w:t xml:space="preserve">- 5-year revenue: $18.9M</w:t>
      </w:r>
      <w:r>
        <w:t xml:space="preserve"> </w:t>
      </w:r>
      <w:r>
        <w:t xml:space="preserve">- 5-year profit: $14.8M</w:t>
      </w:r>
      <w:r>
        <w:t xml:space="preserve"> </w:t>
      </w:r>
      <w:r>
        <w:t xml:space="preserve">- ROI: 11.3x or</w:t>
      </w:r>
      <w:r>
        <w:t xml:space="preserve"> </w:t>
      </w:r>
      <w:r>
        <w:rPr>
          <w:b/>
          <w:bCs/>
        </w:rPr>
        <w:t xml:space="preserve">1,031%</w:t>
      </w:r>
      <w:r>
        <w:t xml:space="preserve"> </w:t>
      </w:r>
      <w:r>
        <w:t xml:space="preserve">- Payback: Year 2</w:t>
      </w:r>
    </w:p>
    <w:p>
      <w:pPr>
        <w:pStyle w:val="BodyText"/>
      </w:pPr>
      <w:r>
        <w:rPr>
          <w:b/>
          <w:bCs/>
        </w:rPr>
        <w:t xml:space="preserve">Break-Even Requirements</w:t>
      </w:r>
      <w:r>
        <w:t xml:space="preserve">:</w:t>
      </w:r>
      <w:r>
        <w:t xml:space="preserve"> </w:t>
      </w:r>
      <w:r>
        <w:t xml:space="preserve">- Monthly operational break-even: $30K revenue (10-12 customers at steady state)</w:t>
      </w:r>
      <w:r>
        <w:t xml:space="preserve"> </w:t>
      </w:r>
      <w:r>
        <w:t xml:space="preserve">- Total investment recovery: 15-18 months from Phase 1 start</w:t>
      </w:r>
    </w:p>
    <w:bookmarkEnd w:id="81"/>
    <w:bookmarkEnd w:id="82"/>
    <w:bookmarkStart w:id="83" w:name="funding-strategy-options"/>
    <w:p>
      <w:pPr>
        <w:pStyle w:val="Heading3"/>
      </w:pPr>
      <w:r>
        <w:rPr>
          <w:rStyle w:val="SectionNumber"/>
        </w:rPr>
        <w:t xml:space="preserve">1.9.5</w:t>
      </w:r>
      <w:r>
        <w:tab/>
      </w:r>
      <w:r>
        <w:t xml:space="preserve">Funding Strategy Options</w:t>
      </w:r>
    </w:p>
    <w:p>
      <w:pPr>
        <w:pStyle w:val="FirstParagraph"/>
      </w:pPr>
      <w:r>
        <w:rPr>
          <w:b/>
          <w:bCs/>
        </w:rPr>
        <w:t xml:space="preserve">Option A: Bootstrap with SRS Co-Investment</w:t>
      </w:r>
      <w:r>
        <w:t xml:space="preserve"> </w:t>
      </w:r>
      <w:r>
        <w:t xml:space="preserve">(RECOMMENDED)</w:t>
      </w:r>
      <w:r>
        <w:t xml:space="preserve"> </w:t>
      </w:r>
      <w:r>
        <w:t xml:space="preserve">- SRS contributes engineering resources and beta access (valued at $330K)</w:t>
      </w:r>
      <w:r>
        <w:t xml:space="preserve"> </w:t>
      </w:r>
      <w:r>
        <w:t xml:space="preserve">- Hupyy invests cash for Hupyy engineering and infrastructure ($550K-600K including contingency)</w:t>
      </w:r>
      <w:r>
        <w:t xml:space="preserve"> </w:t>
      </w:r>
      <w:r>
        <w:t xml:space="preserve">- Revenue share model covers SRS costs and provides ROI</w:t>
      </w:r>
      <w:r>
        <w:t xml:space="preserve"> </w:t>
      </w:r>
      <w:r>
        <w:t xml:space="preserve">-</w:t>
      </w:r>
      <w:r>
        <w:t xml:space="preserve"> </w:t>
      </w:r>
      <w:r>
        <w:rPr>
          <w:b/>
          <w:bCs/>
        </w:rPr>
        <w:t xml:space="preserve">Required Hupyy cash: $600K</w:t>
      </w:r>
      <w:r>
        <w:t xml:space="preserve"> </w:t>
      </w:r>
      <w:r>
        <w:t xml:space="preserve">-</w:t>
      </w:r>
      <w:r>
        <w:t xml:space="preserve"> </w:t>
      </w:r>
      <w:r>
        <w:rPr>
          <w:b/>
          <w:bCs/>
        </w:rPr>
        <w:t xml:space="preserve">Advantages</w:t>
      </w:r>
      <w:r>
        <w:t xml:space="preserve">: No dilution, strong partnership alignment, lower capital requirement</w:t>
      </w:r>
      <w:r>
        <w:t xml:space="preserve"> </w:t>
      </w:r>
      <w:r>
        <w:t xml:space="preserve">-</w:t>
      </w:r>
      <w:r>
        <w:t xml:space="preserve"> </w:t>
      </w:r>
      <w:r>
        <w:rPr>
          <w:b/>
          <w:bCs/>
        </w:rPr>
        <w:t xml:space="preserve">Risks</w:t>
      </w:r>
      <w:r>
        <w:t xml:space="preserve">: Longer runway to profitability, dependent on SRS partnership</w:t>
      </w:r>
    </w:p>
    <w:p>
      <w:pPr>
        <w:pStyle w:val="BodyText"/>
      </w:pPr>
      <w:r>
        <w:rPr>
          <w:b/>
          <w:bCs/>
        </w:rPr>
        <w:t xml:space="preserve">Option B: External Seed Funding</w:t>
      </w:r>
      <w:r>
        <w:t xml:space="preserve"> </w:t>
      </w:r>
      <w:r>
        <w:t xml:space="preserve">- Raise $1.5M-2.0M seed round to cover development + 18 months operations</w:t>
      </w:r>
      <w:r>
        <w:t xml:space="preserve"> </w:t>
      </w:r>
      <w:r>
        <w:t xml:space="preserve">- Enables faster scaling, larger team, expanded TAM beyond SRS</w:t>
      </w:r>
      <w:r>
        <w:t xml:space="preserve"> </w:t>
      </w:r>
      <w:r>
        <w:t xml:space="preserve">-</w:t>
      </w:r>
      <w:r>
        <w:t xml:space="preserve"> </w:t>
      </w:r>
      <w:r>
        <w:rPr>
          <w:b/>
          <w:bCs/>
        </w:rPr>
        <w:t xml:space="preserve">Dilution</w:t>
      </w:r>
      <w:r>
        <w:t xml:space="preserve">: 15-25% equity (typical seed terms at $6M-8M pre-money valuation)</w:t>
      </w:r>
      <w:r>
        <w:t xml:space="preserve"> </w:t>
      </w:r>
      <w:r>
        <w:t xml:space="preserve">-</w:t>
      </w:r>
      <w:r>
        <w:t xml:space="preserve"> </w:t>
      </w:r>
      <w:r>
        <w:rPr>
          <w:b/>
          <w:bCs/>
        </w:rPr>
        <w:t xml:space="preserve">Advantages</w:t>
      </w:r>
      <w:r>
        <w:t xml:space="preserve">: Faster time-to-market, buffer for market development, hiring flexibility</w:t>
      </w:r>
      <w:r>
        <w:t xml:space="preserve"> </w:t>
      </w:r>
      <w:r>
        <w:t xml:space="preserve">-</w:t>
      </w:r>
      <w:r>
        <w:t xml:space="preserve"> </w:t>
      </w:r>
      <w:r>
        <w:rPr>
          <w:b/>
          <w:bCs/>
        </w:rPr>
        <w:t xml:space="preserve">Risks</w:t>
      </w:r>
      <w:r>
        <w:t xml:space="preserve">: Dilution, investor expectations, governance complexity</w:t>
      </w:r>
    </w:p>
    <w:p>
      <w:pPr>
        <w:pStyle w:val="BodyText"/>
      </w:pPr>
      <w:r>
        <w:rPr>
          <w:b/>
          <w:bCs/>
        </w:rPr>
        <w:t xml:space="preserve">Option C: Revenue-Based Financing</w:t>
      </w:r>
      <w:r>
        <w:t xml:space="preserve"> </w:t>
      </w:r>
      <w:r>
        <w:t xml:space="preserve">- Secure $500K-1M revenue-based financing or venture debt post-Phase 2 (after revenue validation)</w:t>
      </w:r>
      <w:r>
        <w:t xml:space="preserve"> </w:t>
      </w:r>
      <w:r>
        <w:t xml:space="preserve">- Lower dilution than equity (5-10% versus 15-25%)</w:t>
      </w:r>
      <w:r>
        <w:t xml:space="preserve"> </w:t>
      </w:r>
      <w:r>
        <w:t xml:space="preserve">-</w:t>
      </w:r>
      <w:r>
        <w:t xml:space="preserve"> </w:t>
      </w:r>
      <w:r>
        <w:rPr>
          <w:b/>
          <w:bCs/>
        </w:rPr>
        <w:t xml:space="preserve">Repayment</w:t>
      </w:r>
      <w:r>
        <w:t xml:space="preserve">: 5-10% of revenue until 1.5-2.0x returned</w:t>
      </w:r>
      <w:r>
        <w:t xml:space="preserve"> </w:t>
      </w:r>
      <w:r>
        <w:t xml:space="preserve">-</w:t>
      </w:r>
      <w:r>
        <w:t xml:space="preserve"> </w:t>
      </w:r>
      <w:r>
        <w:rPr>
          <w:b/>
          <w:bCs/>
        </w:rPr>
        <w:t xml:space="preserve">Advantages</w:t>
      </w:r>
      <w:r>
        <w:t xml:space="preserve">: Minimal dilution, aligned incentives, flexible repayment</w:t>
      </w:r>
      <w:r>
        <w:t xml:space="preserve"> </w:t>
      </w:r>
      <w:r>
        <w:t xml:space="preserve">-</w:t>
      </w:r>
      <w:r>
        <w:t xml:space="preserve"> </w:t>
      </w:r>
      <w:r>
        <w:rPr>
          <w:b/>
          <w:bCs/>
        </w:rPr>
        <w:t xml:space="preserve">Risks</w:t>
      </w:r>
      <w:r>
        <w:t xml:space="preserve">: Requires demonstrated revenue traction, higher effective cost of capital versus equity</w:t>
      </w:r>
    </w:p>
    <w:p>
      <w:r>
        <w:pict>
          <v:rect style="width:0;height:1.5pt" o:hralign="center" o:hrstd="t" o:hr="t"/>
        </w:pict>
      </w:r>
    </w:p>
    <w:bookmarkEnd w:id="83"/>
    <w:bookmarkEnd w:id="84"/>
    <w:bookmarkStart w:id="97" w:name="risk-assessment"/>
    <w:p>
      <w:pPr>
        <w:pStyle w:val="Heading2"/>
      </w:pPr>
      <w:r>
        <w:rPr>
          <w:rStyle w:val="SectionNumber"/>
        </w:rPr>
        <w:t xml:space="preserve">1.10</w:t>
      </w:r>
      <w:r>
        <w:tab/>
      </w:r>
      <w:r>
        <w:t xml:space="preserve">Risk Assessment</w:t>
      </w:r>
    </w:p>
    <w:bookmarkStart w:id="85" w:name="risk-prioritization-matrix"/>
    <w:p>
      <w:pPr>
        <w:pStyle w:val="Heading3"/>
      </w:pPr>
      <w:r>
        <w:rPr>
          <w:rStyle w:val="SectionNumber"/>
        </w:rPr>
        <w:t xml:space="preserve">1.10.1</w:t>
      </w:r>
      <w:r>
        <w:tab/>
      </w:r>
      <w:r>
        <w:t xml:space="preserve">Risk Prioritization Matrix</w:t>
      </w:r>
    </w:p>
    <w:p>
      <w:pPr>
        <w:pStyle w:val="FirstParagraph"/>
      </w:pPr>
      <w:r>
        <w:rPr>
          <w:b/>
          <w:bCs/>
        </w:rPr>
        <w:t xml:space="preserve">Methodology</w:t>
      </w:r>
      <w:r>
        <w:t xml:space="preserve">: Risks assessed on probability (low 10-20%, medium 25-40%, high 45%+) and impact (low, medium, high, critical) dimensions.</w:t>
      </w:r>
    </w:p>
    <w:p>
      <w:pPr>
        <w:pStyle w:val="SourceCode"/>
      </w:pPr>
      <w:r>
        <w:rPr>
          <w:rStyle w:val="VerbatimChar"/>
        </w:rPr>
        <w:t xml:space="preserve">quadrantChart</w:t>
      </w:r>
      <w:r>
        <w:br/>
      </w:r>
      <w:r>
        <w:rPr>
          <w:rStyle w:val="VerbatimChar"/>
        </w:rPr>
        <w:t xml:space="preserve">    title Risk Probability vs Impact Matrix</w:t>
      </w:r>
      <w:r>
        <w:br/>
      </w:r>
      <w:r>
        <w:rPr>
          <w:rStyle w:val="VerbatimChar"/>
        </w:rPr>
        <w:t xml:space="preserve">    x-axis Low Impact --&gt; Critical Impact</w:t>
      </w:r>
      <w:r>
        <w:br/>
      </w:r>
      <w:r>
        <w:rPr>
          <w:rStyle w:val="VerbatimChar"/>
        </w:rPr>
        <w:t xml:space="preserve">    y-axis Low Probability --&gt; High Probability</w:t>
      </w:r>
      <w:r>
        <w:br/>
      </w:r>
      <w:r>
        <w:rPr>
          <w:rStyle w:val="VerbatimChar"/>
        </w:rPr>
        <w:t xml:space="preserve">    quadrant-1 Mitigate Immediately</w:t>
      </w:r>
      <w:r>
        <w:br/>
      </w:r>
      <w:r>
        <w:rPr>
          <w:rStyle w:val="VerbatimChar"/>
        </w:rPr>
        <w:t xml:space="preserve">    quadrant-2 Monitor Closely</w:t>
      </w:r>
      <w:r>
        <w:br/>
      </w:r>
      <w:r>
        <w:rPr>
          <w:rStyle w:val="VerbatimChar"/>
        </w:rPr>
        <w:t xml:space="preserve">    quadrant-3 Monitor</w:t>
      </w:r>
      <w:r>
        <w:br/>
      </w:r>
      <w:r>
        <w:rPr>
          <w:rStyle w:val="VerbatimChar"/>
        </w:rPr>
        <w:t xml:space="preserve">    quadrant-4 Manage Proactively</w:t>
      </w:r>
      <w:r>
        <w:br/>
      </w:r>
      <w:r>
        <w:rPr>
          <w:rStyle w:val="VerbatimChar"/>
        </w:rPr>
        <w:t xml:space="preserve">    Verification Performance: [0.30, 0.75]</w:t>
      </w:r>
      <w:r>
        <w:br/>
      </w:r>
      <w:r>
        <w:rPr>
          <w:rStyle w:val="VerbatimChar"/>
        </w:rPr>
        <w:t xml:space="preserve">    Scope Creep: [0.40, 0.50]</w:t>
      </w:r>
      <w:r>
        <w:br/>
      </w:r>
      <w:r>
        <w:rPr>
          <w:rStyle w:val="VerbatimChar"/>
        </w:rPr>
        <w:t xml:space="preserve">    Competitive Entry: [0.40, 0.80]</w:t>
      </w:r>
      <w:r>
        <w:br/>
      </w:r>
      <w:r>
        <w:rPr>
          <w:rStyle w:val="VerbatimChar"/>
        </w:rPr>
        <w:t xml:space="preserve">    SRS Partnership Strain: [0.20, 0.85]</w:t>
      </w:r>
      <w:r>
        <w:br/>
      </w:r>
      <w:r>
        <w:rPr>
          <w:rStyle w:val="VerbatimChar"/>
        </w:rPr>
        <w:t xml:space="preserve">    Regulatory Delays: [0.25, 0.60]</w:t>
      </w:r>
      <w:r>
        <w:br/>
      </w:r>
      <w:r>
        <w:rPr>
          <w:rStyle w:val="VerbatimChar"/>
        </w:rPr>
        <w:t xml:space="preserve">    Beta Recruitment: [0.25, 0.45]</w:t>
      </w:r>
      <w:r>
        <w:br/>
      </w:r>
      <w:r>
        <w:rPr>
          <w:rStyle w:val="VerbatimChar"/>
        </w:rPr>
        <w:t xml:space="preserve">    Key Personnel Loss: [0.10, 0.75]</w:t>
      </w:r>
    </w:p>
    <w:bookmarkEnd w:id="85"/>
    <w:bookmarkStart w:id="89" w:name="Xeddf47fbaeae18b97c1c82cb07d752fc4ae6a71"/>
    <w:p>
      <w:pPr>
        <w:pStyle w:val="Heading3"/>
      </w:pPr>
      <w:r>
        <w:rPr>
          <w:rStyle w:val="SectionNumber"/>
        </w:rPr>
        <w:t xml:space="preserve">1.10.2</w:t>
      </w:r>
      <w:r>
        <w:tab/>
      </w:r>
      <w:r>
        <w:t xml:space="preserve">Critical Risks (High Probability and/or High Impact)</w:t>
      </w:r>
    </w:p>
    <w:bookmarkStart w:id="86" w:name="Xa67ae47d4b414483fa074a4ea8f946a71bd9d57"/>
    <w:p>
      <w:pPr>
        <w:pStyle w:val="Heading4"/>
      </w:pPr>
      <w:r>
        <w:rPr>
          <w:rStyle w:val="SectionNumber"/>
        </w:rPr>
        <w:t xml:space="preserve">1.10.2.1</w:t>
      </w:r>
      <w:r>
        <w:tab/>
      </w:r>
      <w:r>
        <w:t xml:space="preserve">Risk 1: Verification Performance Overhead Exceeds Threshold</w:t>
      </w:r>
    </w:p>
    <w:p>
      <w:pPr>
        <w:pStyle w:val="FirstParagraph"/>
      </w:pPr>
      <w:r>
        <w:rPr>
          <w:b/>
          <w:bCs/>
        </w:rPr>
        <w:t xml:space="preserve">Description</w:t>
      </w:r>
      <w:r>
        <w:t xml:space="preserve">: Formal verification adds &gt;10ms overhead per measurement operation, impacting real-time data acquisition</w:t>
      </w:r>
    </w:p>
    <w:p>
      <w:pPr>
        <w:pStyle w:val="BodyText"/>
      </w:pPr>
      <w:r>
        <w:rPr>
          <w:b/>
          <w:bCs/>
        </w:rPr>
        <w:t xml:space="preserve">Probability</w:t>
      </w:r>
      <w:r>
        <w:t xml:space="preserve">: Medium (30%)</w:t>
      </w:r>
      <w:r>
        <w:t xml:space="preserve"> </w:t>
      </w:r>
      <w:r>
        <w:rPr>
          <w:b/>
          <w:bCs/>
        </w:rPr>
        <w:t xml:space="preserve">Impact</w:t>
      </w:r>
      <w:r>
        <w:t xml:space="preserve">: High (blocks commercialization if unresolved)</w:t>
      </w:r>
      <w:r>
        <w:t xml:space="preserve"> </w:t>
      </w:r>
      <w:r>
        <w:rPr>
          <w:b/>
          <w:bCs/>
        </w:rPr>
        <w:t xml:space="preserve">Phase</w:t>
      </w:r>
      <w:r>
        <w:t xml:space="preserve">: Phase 1 (Months 1-4)</w:t>
      </w:r>
    </w:p>
    <w:p>
      <w:pPr>
        <w:pStyle w:val="BodyText"/>
      </w:pPr>
      <w:r>
        <w:rPr>
          <w:b/>
          <w:bCs/>
        </w:rPr>
        <w:t xml:space="preserve">Mitigation Strategies</w:t>
      </w:r>
      <w:r>
        <w:t xml:space="preserve">:</w:t>
      </w:r>
      <w:r>
        <w:t xml:space="preserve"> </w:t>
      </w:r>
      <w:r>
        <w:t xml:space="preserve">1.</w:t>
      </w:r>
      <w:r>
        <w:t xml:space="preserve"> </w:t>
      </w:r>
      <w:r>
        <w:rPr>
          <w:b/>
          <w:bCs/>
        </w:rPr>
        <w:t xml:space="preserve">Proof-of-Concept Validation (Week 3-4)</w:t>
      </w:r>
      <w:r>
        <w:t xml:space="preserve">: Implement POC before full development; measure actual overhead (target &lt;5ms for 50% margin)</w:t>
      </w:r>
      <w:r>
        <w:t xml:space="preserve"> </w:t>
      </w:r>
      <w:r>
        <w:t xml:space="preserve">2.</w:t>
      </w:r>
      <w:r>
        <w:t xml:space="preserve"> </w:t>
      </w:r>
      <w:r>
        <w:rPr>
          <w:b/>
          <w:bCs/>
        </w:rPr>
        <w:t xml:space="preserve">Selective Verification Architecture</w:t>
      </w:r>
      <w:r>
        <w:t xml:space="preserve">: Verify subset of operations (most error-prone) or probabilistic verification (sample of measurements)</w:t>
      </w:r>
      <w:r>
        <w:t xml:space="preserve"> </w:t>
      </w:r>
      <w:r>
        <w:t xml:space="preserve">3.</w:t>
      </w:r>
      <w:r>
        <w:t xml:space="preserve"> </w:t>
      </w:r>
      <w:r>
        <w:rPr>
          <w:b/>
          <w:bCs/>
        </w:rPr>
        <w:t xml:space="preserve">Performance Optimization</w:t>
      </w:r>
      <w:r>
        <w:t xml:space="preserve">: Implement verification in Rust/C for critical paths; use JIT compilation; parallelize where possible</w:t>
      </w:r>
      <w:r>
        <w:t xml:space="preserve"> </w:t>
      </w:r>
      <w:r>
        <w:t xml:space="preserve">4.</w:t>
      </w:r>
      <w:r>
        <w:t xml:space="preserve"> </w:t>
      </w:r>
      <w:r>
        <w:rPr>
          <w:b/>
          <w:bCs/>
        </w:rPr>
        <w:t xml:space="preserve">Architecture Alternative</w:t>
      </w:r>
      <w:r>
        <w:t xml:space="preserve">: Pivot to runtime verification (observe during execution) versus static verification if needed</w:t>
      </w:r>
    </w:p>
    <w:p>
      <w:pPr>
        <w:pStyle w:val="BodyText"/>
      </w:pPr>
      <w:r>
        <w:rPr>
          <w:b/>
          <w:bCs/>
        </w:rPr>
        <w:t xml:space="preserve">Contingency Plan</w:t>
      </w:r>
      <w:r>
        <w:t xml:space="preserve">:</w:t>
      </w:r>
      <w:r>
        <w:t xml:space="preserve"> </w:t>
      </w:r>
      <w:r>
        <w:t xml:space="preserve">- If overhead 10-20ms: Implement as optional feature, disabled by default; market as</w:t>
      </w:r>
      <w:r>
        <w:t xml:space="preserve"> </w:t>
      </w:r>
      <w:r>
        <w:t xml:space="preserve">“enhanced validation mode”</w:t>
      </w:r>
      <w:r>
        <w:t xml:space="preserve"> </w:t>
      </w:r>
      <w:r>
        <w:t xml:space="preserve">- If overhead &gt;20ms: Pivot to post-processing verification only (not real-time)</w:t>
      </w:r>
      <w:r>
        <w:t xml:space="preserve"> </w:t>
      </w:r>
      <w:r>
        <w:t xml:space="preserve">- If verification infeasible: Pivot to AI-only analysis without formal verification; differentiate on AI quality</w:t>
      </w:r>
    </w:p>
    <w:p>
      <w:pPr>
        <w:pStyle w:val="BodyText"/>
      </w:pPr>
      <w:r>
        <w:rPr>
          <w:b/>
          <w:bCs/>
        </w:rPr>
        <w:t xml:space="preserve">Budget Impact</w:t>
      </w:r>
      <w:r>
        <w:t xml:space="preserve">: $20K-40K additional engineering for optimization</w:t>
      </w:r>
    </w:p>
    <w:bookmarkEnd w:id="86"/>
    <w:bookmarkStart w:id="87" w:name="Xee3bd89ab371336dced066ebfa3239bbc4b38a3"/>
    <w:p>
      <w:pPr>
        <w:pStyle w:val="Heading4"/>
      </w:pPr>
      <w:r>
        <w:rPr>
          <w:rStyle w:val="SectionNumber"/>
        </w:rPr>
        <w:t xml:space="preserve">1.10.2.2</w:t>
      </w:r>
      <w:r>
        <w:tab/>
      </w:r>
      <w:r>
        <w:t xml:space="preserve">Risk 2: Competitive Market Entry During Phase 2-3</w:t>
      </w:r>
    </w:p>
    <w:p>
      <w:pPr>
        <w:pStyle w:val="FirstParagraph"/>
      </w:pPr>
      <w:r>
        <w:rPr>
          <w:b/>
          <w:bCs/>
        </w:rPr>
        <w:t xml:space="preserve">Description</w:t>
      </w:r>
      <w:r>
        <w:t xml:space="preserve">: National Instruments or MathWorks announces competitive AI-verified analysis offering during Hupyy development</w:t>
      </w:r>
    </w:p>
    <w:p>
      <w:pPr>
        <w:pStyle w:val="BodyText"/>
      </w:pPr>
      <w:r>
        <w:rPr>
          <w:b/>
          <w:bCs/>
        </w:rPr>
        <w:t xml:space="preserve">Probability</w:t>
      </w:r>
      <w:r>
        <w:t xml:space="preserve">: Medium (40%)</w:t>
      </w:r>
      <w:r>
        <w:t xml:space="preserve"> </w:t>
      </w:r>
      <w:r>
        <w:rPr>
          <w:b/>
          <w:bCs/>
        </w:rPr>
        <w:t xml:space="preserve">Impact</w:t>
      </w:r>
      <w:r>
        <w:t xml:space="preserve">: High (market positioning, pricing pressure, customer acquisition)</w:t>
      </w:r>
    </w:p>
    <w:p>
      <w:pPr>
        <w:pStyle w:val="BodyText"/>
      </w:pPr>
      <w:r>
        <w:rPr>
          <w:b/>
          <w:bCs/>
        </w:rPr>
        <w:t xml:space="preserve">Mitigation Strategies</w:t>
      </w:r>
      <w:r>
        <w:t xml:space="preserve">:</w:t>
      </w:r>
      <w:r>
        <w:t xml:space="preserve"> </w:t>
      </w:r>
      <w:r>
        <w:t xml:space="preserve">1.</w:t>
      </w:r>
      <w:r>
        <w:t xml:space="preserve"> </w:t>
      </w:r>
      <w:r>
        <w:rPr>
          <w:b/>
          <w:bCs/>
        </w:rPr>
        <w:t xml:space="preserve">Aggressive Time-to-Market</w:t>
      </w:r>
      <w:r>
        <w:t xml:space="preserve">: 13-month development timeline creates 2-3 year head start window</w:t>
      </w:r>
      <w:r>
        <w:t xml:space="preserve"> </w:t>
      </w:r>
      <w:r>
        <w:t xml:space="preserve">2.</w:t>
      </w:r>
      <w:r>
        <w:t xml:space="preserve"> </w:t>
      </w:r>
      <w:r>
        <w:rPr>
          <w:b/>
          <w:bCs/>
        </w:rPr>
        <w:t xml:space="preserve">IP Protection</w:t>
      </w:r>
      <w:r>
        <w:t xml:space="preserve">: File patents on formal verification methodology for scientific instruments</w:t>
      </w:r>
      <w:r>
        <w:t xml:space="preserve"> </w:t>
      </w:r>
      <w:r>
        <w:t xml:space="preserve">3.</w:t>
      </w:r>
      <w:r>
        <w:t xml:space="preserve"> </w:t>
      </w:r>
      <w:r>
        <w:rPr>
          <w:b/>
          <w:bCs/>
        </w:rPr>
        <w:t xml:space="preserve">Customer Lock-In</w:t>
      </w:r>
      <w:r>
        <w:t xml:space="preserve">: Early customer relationships create switching costs; SRS exclusive partnership</w:t>
      </w:r>
      <w:r>
        <w:t xml:space="preserve"> </w:t>
      </w:r>
      <w:r>
        <w:t xml:space="preserve">4.</w:t>
      </w:r>
      <w:r>
        <w:t xml:space="preserve"> </w:t>
      </w:r>
      <w:r>
        <w:rPr>
          <w:b/>
          <w:bCs/>
        </w:rPr>
        <w:t xml:space="preserve">Vertical Depth</w:t>
      </w:r>
      <w:r>
        <w:t xml:space="preserve">: Pharmaceutical, semiconductor, aerospace expertise versus incumbent breadth</w:t>
      </w:r>
      <w:r>
        <w:t xml:space="preserve"> </w:t>
      </w:r>
      <w:r>
        <w:t xml:space="preserve">5.</w:t>
      </w:r>
      <w:r>
        <w:t xml:space="preserve"> </w:t>
      </w:r>
      <w:r>
        <w:rPr>
          <w:b/>
          <w:bCs/>
        </w:rPr>
        <w:t xml:space="preserve">Regulatory Certifications</w:t>
      </w:r>
      <w:r>
        <w:t xml:space="preserve">: FDA 510(k), ISO 13485 create barrier to entry</w:t>
      </w:r>
    </w:p>
    <w:p>
      <w:pPr>
        <w:pStyle w:val="BodyText"/>
      </w:pPr>
      <w:r>
        <w:rPr>
          <w:b/>
          <w:bCs/>
        </w:rPr>
        <w:t xml:space="preserve">Competitive Response Analysis</w:t>
      </w:r>
      <w:r>
        <w:t xml:space="preserve">:</w:t>
      </w:r>
      <w:r>
        <w:t xml:space="preserve"> </w:t>
      </w:r>
      <w:r>
        <w:t xml:space="preserve">-</w:t>
      </w:r>
      <w:r>
        <w:t xml:space="preserve"> </w:t>
      </w:r>
      <w:r>
        <w:rPr>
          <w:b/>
          <w:bCs/>
        </w:rPr>
        <w:t xml:space="preserve">LabVIEW/MATLAB timeline to competitive offering</w:t>
      </w:r>
      <w:r>
        <w:t xml:space="preserve">: 2-3 years due to architectural constraints (desktop-centric requiring cloud rebuild), lack of formal verification expertise (specialized talent acquisition), organizational inertia</w:t>
      </w:r>
      <w:r>
        <w:t xml:space="preserve"> </w:t>
      </w:r>
      <w:r>
        <w:t xml:space="preserve">-</w:t>
      </w:r>
      <w:r>
        <w:t xml:space="preserve"> </w:t>
      </w:r>
      <w:r>
        <w:rPr>
          <w:b/>
          <w:bCs/>
        </w:rPr>
        <w:t xml:space="preserve">Hupyy first-mover advantages</w:t>
      </w:r>
      <w:r>
        <w:t xml:space="preserve">: Category definition, early customer acquisition, regulatory proof points (first to achieve FDA validation), partner locks (exclusive SRS integrations)</w:t>
      </w:r>
    </w:p>
    <w:p>
      <w:pPr>
        <w:pStyle w:val="BodyText"/>
      </w:pPr>
      <w:r>
        <w:rPr>
          <w:b/>
          <w:bCs/>
        </w:rPr>
        <w:t xml:space="preserve">Contingency Plan</w:t>
      </w:r>
      <w:r>
        <w:t xml:space="preserve">:</w:t>
      </w:r>
      <w:r>
        <w:t xml:space="preserve"> </w:t>
      </w:r>
      <w:r>
        <w:t xml:space="preserve">- Accelerate Phase 3 expansion if competitive announcement detected</w:t>
      </w:r>
      <w:r>
        <w:t xml:space="preserve"> </w:t>
      </w:r>
      <w:r>
        <w:t xml:space="preserve">- Emphasize unique vertical expertise and regulatory certifications</w:t>
      </w:r>
      <w:r>
        <w:t xml:space="preserve"> </w:t>
      </w:r>
      <w:r>
        <w:t xml:space="preserve">- Leverage SRS partnership exclusivity</w:t>
      </w:r>
    </w:p>
    <w:bookmarkEnd w:id="87"/>
    <w:bookmarkStart w:id="88" w:name="X70e7b6ee9af5e1f640334a7d423f75a2d567f98"/>
    <w:p>
      <w:pPr>
        <w:pStyle w:val="Heading4"/>
      </w:pPr>
      <w:r>
        <w:rPr>
          <w:rStyle w:val="SectionNumber"/>
        </w:rPr>
        <w:t xml:space="preserve">1.10.2.3</w:t>
      </w:r>
      <w:r>
        <w:tab/>
      </w:r>
      <w:r>
        <w:t xml:space="preserve">Risk 3: SRS Partnership Strain or Dissolution</w:t>
      </w:r>
    </w:p>
    <w:p>
      <w:pPr>
        <w:pStyle w:val="FirstParagraph"/>
      </w:pPr>
      <w:r>
        <w:rPr>
          <w:b/>
          <w:bCs/>
        </w:rPr>
        <w:t xml:space="preserve">Description</w:t>
      </w:r>
      <w:r>
        <w:t xml:space="preserve">: SRS strategic priorities shift, reducing engineering allocation or terminating partnership</w:t>
      </w:r>
    </w:p>
    <w:p>
      <w:pPr>
        <w:pStyle w:val="BodyText"/>
      </w:pPr>
      <w:r>
        <w:rPr>
          <w:b/>
          <w:bCs/>
        </w:rPr>
        <w:t xml:space="preserve">Probability</w:t>
      </w:r>
      <w:r>
        <w:t xml:space="preserve">: Low (20%)</w:t>
      </w:r>
      <w:r>
        <w:t xml:space="preserve"> </w:t>
      </w:r>
      <w:r>
        <w:rPr>
          <w:b/>
          <w:bCs/>
        </w:rPr>
        <w:t xml:space="preserve">Impact</w:t>
      </w:r>
      <w:r>
        <w:t xml:space="preserve">: Critical (loss of beachhead market, domain expertise, distribution)</w:t>
      </w:r>
    </w:p>
    <w:p>
      <w:pPr>
        <w:pStyle w:val="BodyText"/>
      </w:pPr>
      <w:r>
        <w:rPr>
          <w:b/>
          <w:bCs/>
        </w:rPr>
        <w:t xml:space="preserve">Mitigation Strategies</w:t>
      </w:r>
      <w:r>
        <w:t xml:space="preserve">:</w:t>
      </w:r>
      <w:r>
        <w:t xml:space="preserve"> </w:t>
      </w:r>
      <w:r>
        <w:t xml:space="preserve">1.</w:t>
      </w:r>
      <w:r>
        <w:t xml:space="preserve"> </w:t>
      </w:r>
      <w:r>
        <w:rPr>
          <w:b/>
          <w:bCs/>
        </w:rPr>
        <w:t xml:space="preserve">Executive Sponsorship</w:t>
      </w:r>
      <w:r>
        <w:t xml:space="preserve">: Secure commitment from SRS leadership (VP Engineering, Product Management)</w:t>
      </w:r>
      <w:r>
        <w:t xml:space="preserve"> </w:t>
      </w:r>
      <w:r>
        <w:t xml:space="preserve">2.</w:t>
      </w:r>
      <w:r>
        <w:t xml:space="preserve"> </w:t>
      </w:r>
      <w:r>
        <w:rPr>
          <w:b/>
          <w:bCs/>
        </w:rPr>
        <w:t xml:space="preserve">Value Demonstration</w:t>
      </w:r>
      <w:r>
        <w:t xml:space="preserve">: Deliver early wins in Phase 1 demonstrating commercial potential</w:t>
      </w:r>
      <w:r>
        <w:t xml:space="preserve"> </w:t>
      </w:r>
      <w:r>
        <w:t xml:space="preserve">3.</w:t>
      </w:r>
      <w:r>
        <w:t xml:space="preserve"> </w:t>
      </w:r>
      <w:r>
        <w:rPr>
          <w:b/>
          <w:bCs/>
        </w:rPr>
        <w:t xml:space="preserve">Flexible Architecture</w:t>
      </w:r>
      <w:r>
        <w:t xml:space="preserve">: Design platform to support non-SRS instruments (reduce dependency)</w:t>
      </w:r>
      <w:r>
        <w:t xml:space="preserve"> </w:t>
      </w:r>
      <w:r>
        <w:t xml:space="preserve">4.</w:t>
      </w:r>
      <w:r>
        <w:t xml:space="preserve"> </w:t>
      </w:r>
      <w:r>
        <w:rPr>
          <w:b/>
          <w:bCs/>
        </w:rPr>
        <w:t xml:space="preserve">Quarterly Business Reviews</w:t>
      </w:r>
      <w:r>
        <w:t xml:space="preserve">: Ensure alignment on strategic priorities and resource allocation</w:t>
      </w:r>
      <w:r>
        <w:t xml:space="preserve"> </w:t>
      </w:r>
      <w:r>
        <w:t xml:space="preserve">5.</w:t>
      </w:r>
      <w:r>
        <w:t xml:space="preserve"> </w:t>
      </w:r>
      <w:r>
        <w:rPr>
          <w:b/>
          <w:bCs/>
        </w:rPr>
        <w:t xml:space="preserve">Contractual Safeguards</w:t>
      </w:r>
      <w:r>
        <w:t xml:space="preserve">: Define minimum SRS engineering allocation in partnership agreement</w:t>
      </w:r>
    </w:p>
    <w:p>
      <w:pPr>
        <w:pStyle w:val="BodyText"/>
      </w:pPr>
      <w:r>
        <w:rPr>
          <w:b/>
          <w:bCs/>
        </w:rPr>
        <w:t xml:space="preserve">Early Warning Indicators</w:t>
      </w:r>
      <w:r>
        <w:t xml:space="preserve">:</w:t>
      </w:r>
      <w:r>
        <w:t xml:space="preserve"> </w:t>
      </w:r>
      <w:r>
        <w:t xml:space="preserve">- SRS resource allocation drops below committed levels (Week 1-4)</w:t>
      </w:r>
      <w:r>
        <w:t xml:space="preserve"> </w:t>
      </w:r>
      <w:r>
        <w:t xml:space="preserve">- Strategic announcements suggesting software deprioritization</w:t>
      </w:r>
      <w:r>
        <w:t xml:space="preserve"> </w:t>
      </w:r>
      <w:r>
        <w:t xml:space="preserve">- Key SRS champions depart or shift roles</w:t>
      </w:r>
    </w:p>
    <w:p>
      <w:pPr>
        <w:pStyle w:val="BodyText"/>
      </w:pPr>
      <w:r>
        <w:rPr>
          <w:b/>
          <w:bCs/>
        </w:rPr>
        <w:t xml:space="preserve">Contingency Plan</w:t>
      </w:r>
      <w:r>
        <w:t xml:space="preserve">:</w:t>
      </w:r>
      <w:r>
        <w:t xml:space="preserve"> </w:t>
      </w:r>
      <w:r>
        <w:t xml:space="preserve">- Negotiate pivot to different SRS product line if original plan affected</w:t>
      </w:r>
      <w:r>
        <w:t xml:space="preserve"> </w:t>
      </w:r>
      <w:r>
        <w:t xml:space="preserve">- Expand to complementary instrument manufacturers (Keysight, Tektronix) earlier than planned</w:t>
      </w:r>
      <w:r>
        <w:t xml:space="preserve"> </w:t>
      </w:r>
      <w:r>
        <w:t xml:space="preserve">- License platform to SRS as white-label offering (guaranteed revenue stream)</w:t>
      </w:r>
    </w:p>
    <w:bookmarkEnd w:id="88"/>
    <w:bookmarkEnd w:id="89"/>
    <w:bookmarkStart w:id="92" w:name="high-impact-risks-moderate-probability"/>
    <w:p>
      <w:pPr>
        <w:pStyle w:val="Heading3"/>
      </w:pPr>
      <w:r>
        <w:rPr>
          <w:rStyle w:val="SectionNumber"/>
        </w:rPr>
        <w:t xml:space="preserve">1.10.3</w:t>
      </w:r>
      <w:r>
        <w:tab/>
      </w:r>
      <w:r>
        <w:t xml:space="preserve">High-Impact Risks (Moderate Probability)</w:t>
      </w:r>
    </w:p>
    <w:bookmarkStart w:id="90" w:name="X48cf384ff800c4f1a66c8eabcfe611614f6a6b4"/>
    <w:p>
      <w:pPr>
        <w:pStyle w:val="Heading4"/>
      </w:pPr>
      <w:r>
        <w:rPr>
          <w:rStyle w:val="SectionNumber"/>
        </w:rPr>
        <w:t xml:space="preserve">1.10.3.1</w:t>
      </w:r>
      <w:r>
        <w:tab/>
      </w:r>
      <w:r>
        <w:t xml:space="preserve">Risk 4: FDA 510(k) Submission Delays or Rejection</w:t>
      </w:r>
    </w:p>
    <w:p>
      <w:pPr>
        <w:pStyle w:val="FirstParagraph"/>
      </w:pPr>
      <w:r>
        <w:rPr>
          <w:b/>
          <w:bCs/>
        </w:rPr>
        <w:t xml:space="preserve">Description</w:t>
      </w:r>
      <w:r>
        <w:t xml:space="preserve">: Phase 2 medical device certification encounters regulatory obstacles</w:t>
      </w:r>
    </w:p>
    <w:p>
      <w:pPr>
        <w:pStyle w:val="BodyText"/>
      </w:pPr>
      <w:r>
        <w:rPr>
          <w:b/>
          <w:bCs/>
        </w:rPr>
        <w:t xml:space="preserve">Probability</w:t>
      </w:r>
      <w:r>
        <w:t xml:space="preserve">: Low-Medium (25%)</w:t>
      </w:r>
      <w:r>
        <w:t xml:space="preserve"> </w:t>
      </w:r>
      <w:r>
        <w:rPr>
          <w:b/>
          <w:bCs/>
        </w:rPr>
        <w:t xml:space="preserve">Impact</w:t>
      </w:r>
      <w:r>
        <w:t xml:space="preserve">: High (delays Phase 2 market access, increases cost)</w:t>
      </w:r>
    </w:p>
    <w:p>
      <w:pPr>
        <w:pStyle w:val="BodyText"/>
      </w:pPr>
      <w:r>
        <w:rPr>
          <w:b/>
          <w:bCs/>
        </w:rPr>
        <w:t xml:space="preserve">Mitigation Strategies</w:t>
      </w:r>
      <w:r>
        <w:t xml:space="preserve">:</w:t>
      </w:r>
      <w:r>
        <w:t xml:space="preserve"> </w:t>
      </w:r>
      <w:r>
        <w:t xml:space="preserve">1.</w:t>
      </w:r>
      <w:r>
        <w:t xml:space="preserve"> </w:t>
      </w:r>
      <w:r>
        <w:rPr>
          <w:b/>
          <w:bCs/>
        </w:rPr>
        <w:t xml:space="preserve">Pre-Submission Meeting</w:t>
      </w:r>
      <w:r>
        <w:t xml:space="preserve">: Engage FDA 6-9 months before submission; present formal verification approach; clarify expectations</w:t>
      </w:r>
      <w:r>
        <w:t xml:space="preserve"> </w:t>
      </w:r>
      <w:r>
        <w:t xml:space="preserve">2.</w:t>
      </w:r>
      <w:r>
        <w:t xml:space="preserve"> </w:t>
      </w:r>
      <w:r>
        <w:rPr>
          <w:b/>
          <w:bCs/>
        </w:rPr>
        <w:t xml:space="preserve">Regulatory Expertise</w:t>
      </w:r>
      <w:r>
        <w:t xml:space="preserve">: Hire Regulatory Affairs Manager (Year 1); retain FDA 510(k) consultant ($150K)</w:t>
      </w:r>
      <w:r>
        <w:t xml:space="preserve"> </w:t>
      </w:r>
      <w:r>
        <w:t xml:space="preserve">3.</w:t>
      </w:r>
      <w:r>
        <w:t xml:space="preserve"> </w:t>
      </w:r>
      <w:r>
        <w:rPr>
          <w:b/>
          <w:bCs/>
        </w:rPr>
        <w:t xml:space="preserve">IEC 62304 Rigor</w:t>
      </w:r>
      <w:r>
        <w:t xml:space="preserve">: Design to Class C standards even if classified Class B (higher bar provides margin)</w:t>
      </w:r>
      <w:r>
        <w:t xml:space="preserve"> </w:t>
      </w:r>
      <w:r>
        <w:t xml:space="preserve">4.</w:t>
      </w:r>
      <w:r>
        <w:t xml:space="preserve"> </w:t>
      </w:r>
      <w:r>
        <w:rPr>
          <w:b/>
          <w:bCs/>
        </w:rPr>
        <w:t xml:space="preserve">Formal Verification Education</w:t>
      </w:r>
      <w:r>
        <w:t xml:space="preserve">: White paper for FDA reviewers explaining methodology; emphasize as additional assurance</w:t>
      </w:r>
    </w:p>
    <w:p>
      <w:pPr>
        <w:pStyle w:val="BodyText"/>
      </w:pPr>
      <w:r>
        <w:rPr>
          <w:b/>
          <w:bCs/>
        </w:rPr>
        <w:t xml:space="preserve">Contingency Plan</w:t>
      </w:r>
      <w:r>
        <w:t xml:space="preserve">:</w:t>
      </w:r>
      <w:r>
        <w:t xml:space="preserve"> </w:t>
      </w:r>
      <w:r>
        <w:t xml:space="preserve">- If FDA raises concerns: Respond with additional validation data, clinical evidence, literature support</w:t>
      </w:r>
      <w:r>
        <w:t xml:space="preserve"> </w:t>
      </w:r>
      <w:r>
        <w:t xml:space="preserve">- If timeline extends significantly: Proceed with Phase 1 markets (ISO 17025, 21 CFR Part 11) while addressing FDA feedback</w:t>
      </w:r>
      <w:r>
        <w:t xml:space="preserve"> </w:t>
      </w:r>
      <w:r>
        <w:t xml:space="preserve">- If rejection occurs: Pivot to software as medical device accessory (lower regulatory burden)</w:t>
      </w:r>
    </w:p>
    <w:p>
      <w:pPr>
        <w:pStyle w:val="BodyText"/>
      </w:pPr>
      <w:r>
        <w:rPr>
          <w:b/>
          <w:bCs/>
        </w:rPr>
        <w:t xml:space="preserve">Budget Impact</w:t>
      </w:r>
      <w:r>
        <w:t xml:space="preserve">: $100K-200K additional consulting and validation if delays occur</w:t>
      </w:r>
    </w:p>
    <w:bookmarkEnd w:id="90"/>
    <w:bookmarkStart w:id="91" w:name="Xdf2c70a1fc5c66c915ca96b934323ed9a51c0c3"/>
    <w:p>
      <w:pPr>
        <w:pStyle w:val="Heading4"/>
      </w:pPr>
      <w:r>
        <w:rPr>
          <w:rStyle w:val="SectionNumber"/>
        </w:rPr>
        <w:t xml:space="preserve">1.10.3.2</w:t>
      </w:r>
      <w:r>
        <w:tab/>
      </w:r>
      <w:r>
        <w:t xml:space="preserve">Risk 5: Scope Creep During Rapid Multi-Product Expansion</w:t>
      </w:r>
    </w:p>
    <w:p>
      <w:pPr>
        <w:pStyle w:val="FirstParagraph"/>
      </w:pPr>
      <w:r>
        <w:rPr>
          <w:b/>
          <w:bCs/>
        </w:rPr>
        <w:t xml:space="preserve">Description</w:t>
      </w:r>
      <w:r>
        <w:t xml:space="preserve">: Stakeholders request features beyond pilot scope, delaying timelines and increasing budget</w:t>
      </w:r>
    </w:p>
    <w:p>
      <w:pPr>
        <w:pStyle w:val="BodyText"/>
      </w:pPr>
      <w:r>
        <w:rPr>
          <w:b/>
          <w:bCs/>
        </w:rPr>
        <w:t xml:space="preserve">Probability</w:t>
      </w:r>
      <w:r>
        <w:t xml:space="preserve">: High (40%)</w:t>
      </w:r>
      <w:r>
        <w:t xml:space="preserve"> </w:t>
      </w:r>
      <w:r>
        <w:rPr>
          <w:b/>
          <w:bCs/>
        </w:rPr>
        <w:t xml:space="preserve">Impact</w:t>
      </w:r>
      <w:r>
        <w:t xml:space="preserve">: Medium (delays, budget overrun 10-20%)</w:t>
      </w:r>
    </w:p>
    <w:p>
      <w:pPr>
        <w:pStyle w:val="BodyText"/>
      </w:pPr>
      <w:r>
        <w:rPr>
          <w:b/>
          <w:bCs/>
        </w:rPr>
        <w:t xml:space="preserve">Mitigation Strategies</w:t>
      </w:r>
      <w:r>
        <w:t xml:space="preserve">:</w:t>
      </w:r>
      <w:r>
        <w:t xml:space="preserve"> </w:t>
      </w:r>
      <w:r>
        <w:t xml:space="preserve">1.</w:t>
      </w:r>
      <w:r>
        <w:t xml:space="preserve"> </w:t>
      </w:r>
      <w:r>
        <w:rPr>
          <w:b/>
          <w:bCs/>
        </w:rPr>
        <w:t xml:space="preserve">Strict Change Control</w:t>
      </w:r>
      <w:r>
        <w:t xml:space="preserve">: Documented baseline with signed approval; change request process</w:t>
      </w:r>
      <w:r>
        <w:t xml:space="preserve"> </w:t>
      </w:r>
      <w:r>
        <w:t xml:space="preserve">2.</w:t>
      </w:r>
      <w:r>
        <w:t xml:space="preserve"> </w:t>
      </w:r>
      <w:r>
        <w:rPr>
          <w:b/>
          <w:bCs/>
        </w:rPr>
        <w:t xml:space="preserve">Stakeholder Communication</w:t>
      </w:r>
      <w:r>
        <w:t xml:space="preserve">: Weekly alignment meetings; clearly communicate pilot scope limitations</w:t>
      </w:r>
      <w:r>
        <w:t xml:space="preserve"> </w:t>
      </w:r>
      <w:r>
        <w:t xml:space="preserve">3.</w:t>
      </w:r>
      <w:r>
        <w:t xml:space="preserve"> </w:t>
      </w:r>
      <w:r>
        <w:rPr>
          <w:b/>
          <w:bCs/>
        </w:rPr>
        <w:t xml:space="preserve">Feature Parking Lot</w:t>
      </w:r>
      <w:r>
        <w:t xml:space="preserve">: Capture enhancement requests for Phase 2/3 roadmap without committing</w:t>
      </w:r>
      <w:r>
        <w:t xml:space="preserve"> </w:t>
      </w:r>
      <w:r>
        <w:t xml:space="preserve">4.</w:t>
      </w:r>
      <w:r>
        <w:t xml:space="preserve"> </w:t>
      </w:r>
      <w:r>
        <w:rPr>
          <w:b/>
          <w:bCs/>
        </w:rPr>
        <w:t xml:space="preserve">Phase Gate Reviews</w:t>
      </w:r>
      <w:r>
        <w:t xml:space="preserve">: Monthly executive reviews with scope adherence metrics</w:t>
      </w:r>
    </w:p>
    <w:p>
      <w:pPr>
        <w:pStyle w:val="BodyText"/>
      </w:pPr>
      <w:r>
        <w:rPr>
          <w:b/>
          <w:bCs/>
        </w:rPr>
        <w:t xml:space="preserve">Contingency Plan</w:t>
      </w:r>
      <w:r>
        <w:t xml:space="preserve">:</w:t>
      </w:r>
      <w:r>
        <w:t xml:space="preserve"> </w:t>
      </w:r>
      <w:r>
        <w:t xml:space="preserve">- Defer non-essential features to Phase 2/3</w:t>
      </w:r>
      <w:r>
        <w:t xml:space="preserve"> </w:t>
      </w:r>
      <w:r>
        <w:t xml:space="preserve">- Extend timeline if critical features identified (invoke contingency budget)</w:t>
      </w:r>
      <w:r>
        <w:t xml:space="preserve"> </w:t>
      </w:r>
      <w:r>
        <w:t xml:space="preserve">- Implement features as optional modules (don’t delay core platform)</w:t>
      </w:r>
    </w:p>
    <w:p>
      <w:pPr>
        <w:pStyle w:val="BodyText"/>
      </w:pPr>
      <w:r>
        <w:rPr>
          <w:b/>
          <w:bCs/>
        </w:rPr>
        <w:t xml:space="preserve">Budget Impact</w:t>
      </w:r>
      <w:r>
        <w:t xml:space="preserve">: $50K-100K if major scope additions approved</w:t>
      </w:r>
    </w:p>
    <w:bookmarkEnd w:id="91"/>
    <w:bookmarkEnd w:id="92"/>
    <w:bookmarkStart w:id="95" w:name="operational-risks"/>
    <w:p>
      <w:pPr>
        <w:pStyle w:val="Heading3"/>
      </w:pPr>
      <w:r>
        <w:rPr>
          <w:rStyle w:val="SectionNumber"/>
        </w:rPr>
        <w:t xml:space="preserve">1.10.4</w:t>
      </w:r>
      <w:r>
        <w:tab/>
      </w:r>
      <w:r>
        <w:t xml:space="preserve">Operational Risks</w:t>
      </w:r>
    </w:p>
    <w:bookmarkStart w:id="93" w:name="risk-6-key-personnel-departure"/>
    <w:p>
      <w:pPr>
        <w:pStyle w:val="Heading4"/>
      </w:pPr>
      <w:r>
        <w:rPr>
          <w:rStyle w:val="SectionNumber"/>
        </w:rPr>
        <w:t xml:space="preserve">1.10.4.1</w:t>
      </w:r>
      <w:r>
        <w:tab/>
      </w:r>
      <w:r>
        <w:t xml:space="preserve">Risk 6: Key Personnel Departure</w:t>
      </w:r>
    </w:p>
    <w:p>
      <w:pPr>
        <w:pStyle w:val="FirstParagraph"/>
      </w:pPr>
      <w:r>
        <w:rPr>
          <w:b/>
          <w:bCs/>
        </w:rPr>
        <w:t xml:space="preserve">Description</w:t>
      </w:r>
      <w:r>
        <w:t xml:space="preserve">: Loss of critical Hupyy or SRS engineer during development</w:t>
      </w:r>
    </w:p>
    <w:p>
      <w:pPr>
        <w:pStyle w:val="BodyText"/>
      </w:pPr>
      <w:r>
        <w:rPr>
          <w:b/>
          <w:bCs/>
        </w:rPr>
        <w:t xml:space="preserve">Probability</w:t>
      </w:r>
      <w:r>
        <w:t xml:space="preserve">: Low (10%)</w:t>
      </w:r>
      <w:r>
        <w:t xml:space="preserve"> </w:t>
      </w:r>
      <w:r>
        <w:rPr>
          <w:b/>
          <w:bCs/>
        </w:rPr>
        <w:t xml:space="preserve">Impact</w:t>
      </w:r>
      <w:r>
        <w:t xml:space="preserve">: High (significant delays, knowledge loss)</w:t>
      </w:r>
    </w:p>
    <w:p>
      <w:pPr>
        <w:pStyle w:val="BodyText"/>
      </w:pPr>
      <w:r>
        <w:rPr>
          <w:b/>
          <w:bCs/>
        </w:rPr>
        <w:t xml:space="preserve">Mitigation Strategies</w:t>
      </w:r>
      <w:r>
        <w:t xml:space="preserve">:</w:t>
      </w:r>
      <w:r>
        <w:t xml:space="preserve"> </w:t>
      </w:r>
      <w:r>
        <w:t xml:space="preserve">1.</w:t>
      </w:r>
      <w:r>
        <w:t xml:space="preserve"> </w:t>
      </w:r>
      <w:r>
        <w:rPr>
          <w:b/>
          <w:bCs/>
        </w:rPr>
        <w:t xml:space="preserve">Cross-Training</w:t>
      </w:r>
      <w:r>
        <w:t xml:space="preserve">: Knowledge sharing throughout project; pair programming</w:t>
      </w:r>
      <w:r>
        <w:t xml:space="preserve"> </w:t>
      </w:r>
      <w:r>
        <w:t xml:space="preserve">2.</w:t>
      </w:r>
      <w:r>
        <w:t xml:space="preserve"> </w:t>
      </w:r>
      <w:r>
        <w:rPr>
          <w:b/>
          <w:bCs/>
        </w:rPr>
        <w:t xml:space="preserve">Documentation</w:t>
      </w:r>
      <w:r>
        <w:t xml:space="preserve">: Comprehensive documentation of decisions and designs</w:t>
      </w:r>
      <w:r>
        <w:t xml:space="preserve"> </w:t>
      </w:r>
      <w:r>
        <w:t xml:space="preserve">3.</w:t>
      </w:r>
      <w:r>
        <w:t xml:space="preserve"> </w:t>
      </w:r>
      <w:r>
        <w:rPr>
          <w:b/>
          <w:bCs/>
        </w:rPr>
        <w:t xml:space="preserve">Backup Resources</w:t>
      </w:r>
      <w:r>
        <w:t xml:space="preserve">: Maintain contractor network for replacement capacity</w:t>
      </w:r>
      <w:r>
        <w:t xml:space="preserve"> </w:t>
      </w:r>
      <w:r>
        <w:t xml:space="preserve">4.</w:t>
      </w:r>
      <w:r>
        <w:t xml:space="preserve"> </w:t>
      </w:r>
      <w:r>
        <w:rPr>
          <w:b/>
          <w:bCs/>
        </w:rPr>
        <w:t xml:space="preserve">Retention Incentives</w:t>
      </w:r>
      <w:r>
        <w:t xml:space="preserve">: Competitive compensation, equity vesting aligned with milestones</w:t>
      </w:r>
    </w:p>
    <w:p>
      <w:pPr>
        <w:pStyle w:val="BodyText"/>
      </w:pPr>
      <w:r>
        <w:rPr>
          <w:b/>
          <w:bCs/>
        </w:rPr>
        <w:t xml:space="preserve">Contingency Plan</w:t>
      </w:r>
      <w:r>
        <w:t xml:space="preserve">:</w:t>
      </w:r>
      <w:r>
        <w:t xml:space="preserve"> </w:t>
      </w:r>
      <w:r>
        <w:t xml:space="preserve">- Negotiate timeline extension (invoke contingency buffer)</w:t>
      </w:r>
      <w:r>
        <w:t xml:space="preserve"> </w:t>
      </w:r>
      <w:r>
        <w:t xml:space="preserve">- Bring in replacement resource from contractor network</w:t>
      </w:r>
      <w:r>
        <w:t xml:space="preserve"> </w:t>
      </w:r>
      <w:r>
        <w:t xml:space="preserve">- Simplify scope if expertise gap cannot be filled quickly</w:t>
      </w:r>
    </w:p>
    <w:p>
      <w:pPr>
        <w:pStyle w:val="BodyText"/>
      </w:pPr>
      <w:r>
        <w:rPr>
          <w:b/>
          <w:bCs/>
        </w:rPr>
        <w:t xml:space="preserve">Budget Impact</w:t>
      </w:r>
      <w:r>
        <w:t xml:space="preserve">: $30K-60K for contractor rates (1.5x internal cost)</w:t>
      </w:r>
    </w:p>
    <w:bookmarkEnd w:id="93"/>
    <w:bookmarkStart w:id="94" w:name="X61fe74ccad4ee6c224380957ef57d4abf335a88"/>
    <w:p>
      <w:pPr>
        <w:pStyle w:val="Heading4"/>
      </w:pPr>
      <w:r>
        <w:rPr>
          <w:rStyle w:val="SectionNumber"/>
        </w:rPr>
        <w:t xml:space="preserve">1.10.4.2</w:t>
      </w:r>
      <w:r>
        <w:tab/>
      </w:r>
      <w:r>
        <w:t xml:space="preserve">Risk 7: Beta Tester Recruitment Challenges</w:t>
      </w:r>
    </w:p>
    <w:p>
      <w:pPr>
        <w:pStyle w:val="FirstParagraph"/>
      </w:pPr>
      <w:r>
        <w:rPr>
          <w:b/>
          <w:bCs/>
        </w:rPr>
        <w:t xml:space="preserve">Description</w:t>
      </w:r>
      <w:r>
        <w:t xml:space="preserve">: Difficulty finding qualified beta test sites willing to participate</w:t>
      </w:r>
    </w:p>
    <w:p>
      <w:pPr>
        <w:pStyle w:val="BodyText"/>
      </w:pPr>
      <w:r>
        <w:rPr>
          <w:b/>
          <w:bCs/>
        </w:rPr>
        <w:t xml:space="preserve">Probability</w:t>
      </w:r>
      <w:r>
        <w:t xml:space="preserve">: Medium (25%)</w:t>
      </w:r>
      <w:r>
        <w:t xml:space="preserve"> </w:t>
      </w:r>
      <w:r>
        <w:rPr>
          <w:b/>
          <w:bCs/>
        </w:rPr>
        <w:t xml:space="preserve">Impact</w:t>
      </w:r>
      <w:r>
        <w:t xml:space="preserve">: Medium (delays validation, reduces market evidence)</w:t>
      </w:r>
    </w:p>
    <w:p>
      <w:pPr>
        <w:pStyle w:val="BodyText"/>
      </w:pPr>
      <w:r>
        <w:rPr>
          <w:b/>
          <w:bCs/>
        </w:rPr>
        <w:t xml:space="preserve">Mitigation Strategies</w:t>
      </w:r>
      <w:r>
        <w:t xml:space="preserve">:</w:t>
      </w:r>
      <w:r>
        <w:t xml:space="preserve"> </w:t>
      </w:r>
      <w:r>
        <w:t xml:space="preserve">1.</w:t>
      </w:r>
      <w:r>
        <w:t xml:space="preserve"> </w:t>
      </w:r>
      <w:r>
        <w:rPr>
          <w:b/>
          <w:bCs/>
        </w:rPr>
        <w:t xml:space="preserve">SRS Customer Relationships</w:t>
      </w:r>
      <w:r>
        <w:t xml:space="preserve">: Leverage SRS existing customer base and sales channels</w:t>
      </w:r>
      <w:r>
        <w:t xml:space="preserve"> </w:t>
      </w:r>
      <w:r>
        <w:t xml:space="preserve">2.</w:t>
      </w:r>
      <w:r>
        <w:t xml:space="preserve"> </w:t>
      </w:r>
      <w:r>
        <w:rPr>
          <w:b/>
          <w:bCs/>
        </w:rPr>
        <w:t xml:space="preserve">Incentives</w:t>
      </w:r>
      <w:r>
        <w:t xml:space="preserve">: Free licenses (first year), early access features, co-authorship on case studies</w:t>
      </w:r>
      <w:r>
        <w:t xml:space="preserve"> </w:t>
      </w:r>
      <w:r>
        <w:t xml:space="preserve">3.</w:t>
      </w:r>
      <w:r>
        <w:t xml:space="preserve"> </w:t>
      </w:r>
      <w:r>
        <w:rPr>
          <w:b/>
          <w:bCs/>
        </w:rPr>
        <w:t xml:space="preserve">Early Recruitment</w:t>
      </w:r>
      <w:r>
        <w:t xml:space="preserve">: Start recruitment in Week 1 (3-month lead time before beta deployment)</w:t>
      </w:r>
      <w:r>
        <w:t xml:space="preserve"> </w:t>
      </w:r>
      <w:r>
        <w:t xml:space="preserve">4.</w:t>
      </w:r>
      <w:r>
        <w:t xml:space="preserve"> </w:t>
      </w:r>
      <w:r>
        <w:rPr>
          <w:b/>
          <w:bCs/>
        </w:rPr>
        <w:t xml:space="preserve">Internal Labs</w:t>
      </w:r>
      <w:r>
        <w:t xml:space="preserve">: SRS internal labs as backup beta sites</w:t>
      </w:r>
    </w:p>
    <w:p>
      <w:pPr>
        <w:pStyle w:val="BodyText"/>
      </w:pPr>
      <w:r>
        <w:rPr>
          <w:b/>
          <w:bCs/>
        </w:rPr>
        <w:t xml:space="preserve">Contingency Plan</w:t>
      </w:r>
      <w:r>
        <w:t xml:space="preserve">:</w:t>
      </w:r>
      <w:r>
        <w:t xml:space="preserve"> </w:t>
      </w:r>
      <w:r>
        <w:t xml:space="preserve">- Extend beta period to compensate for fewer sites</w:t>
      </w:r>
      <w:r>
        <w:t xml:space="preserve"> </w:t>
      </w:r>
      <w:r>
        <w:t xml:space="preserve">- Reduce required site count from 5-10 to 3-5 if high-quality feedback obtained</w:t>
      </w:r>
      <w:r>
        <w:t xml:space="preserve"> </w:t>
      </w:r>
      <w:r>
        <w:t xml:space="preserve">- Increase incentives (extended free licenses, dedicated support)</w:t>
      </w:r>
    </w:p>
    <w:p>
      <w:pPr>
        <w:pStyle w:val="BodyText"/>
      </w:pPr>
      <w:r>
        <w:rPr>
          <w:b/>
          <w:bCs/>
        </w:rPr>
        <w:t xml:space="preserve">Budget Impact</w:t>
      </w:r>
      <w:r>
        <w:t xml:space="preserve">: $10K-20K additional incentives</w:t>
      </w:r>
    </w:p>
    <w:bookmarkEnd w:id="94"/>
    <w:bookmarkEnd w:id="95"/>
    <w:bookmarkStart w:id="96" w:name="risk-monitoring-and-governance"/>
    <w:p>
      <w:pPr>
        <w:pStyle w:val="Heading3"/>
      </w:pPr>
      <w:r>
        <w:rPr>
          <w:rStyle w:val="SectionNumber"/>
        </w:rPr>
        <w:t xml:space="preserve">1.10.5</w:t>
      </w:r>
      <w:r>
        <w:tab/>
      </w:r>
      <w:r>
        <w:t xml:space="preserve">Risk Monitoring and Governance</w:t>
      </w:r>
    </w:p>
    <w:p>
      <w:pPr>
        <w:pStyle w:val="FirstParagraph"/>
      </w:pPr>
      <w:r>
        <w:rPr>
          <w:b/>
          <w:bCs/>
        </w:rPr>
        <w:t xml:space="preserve">Risk Register</w:t>
      </w:r>
      <w:r>
        <w:t xml:space="preserve">: Maintained in project management system with weekly updates</w:t>
      </w:r>
    </w:p>
    <w:p>
      <w:pPr>
        <w:pStyle w:val="BodyText"/>
      </w:pPr>
      <w:r>
        <w:rPr>
          <w:b/>
          <w:bCs/>
        </w:rPr>
        <w:t xml:space="preserve">Leading Indicators Dashboard</w:t>
      </w:r>
      <w:r>
        <w:t xml:space="preserve">:</w:t>
      </w:r>
      <w:r>
        <w:t xml:space="preserve"> </w:t>
      </w:r>
      <w:r>
        <w:t xml:space="preserve">- Development velocity (story points per sprint)</w:t>
      </w:r>
      <w:r>
        <w:t xml:space="preserve"> </w:t>
      </w:r>
      <w:r>
        <w:t xml:space="preserve">- Technical performance metrics (verification overhead, AI accuracy)</w:t>
      </w:r>
      <w:r>
        <w:t xml:space="preserve"> </w:t>
      </w:r>
      <w:r>
        <w:t xml:space="preserve">- Customer feedback (beta tester satisfaction scores)</w:t>
      </w:r>
      <w:r>
        <w:t xml:space="preserve"> </w:t>
      </w:r>
      <w:r>
        <w:t xml:space="preserve">- Competitive intelligence (product announcements, patent filings)</w:t>
      </w:r>
      <w:r>
        <w:t xml:space="preserve"> </w:t>
      </w:r>
      <w:r>
        <w:t xml:space="preserve">- Partnership health (SRS resource allocation, stakeholder engagement)</w:t>
      </w:r>
    </w:p>
    <w:p>
      <w:pPr>
        <w:pStyle w:val="BodyText"/>
      </w:pPr>
      <w:r>
        <w:rPr>
          <w:b/>
          <w:bCs/>
        </w:rPr>
        <w:t xml:space="preserve">Quarterly Risk Reviews</w:t>
      </w:r>
      <w:r>
        <w:t xml:space="preserve">: Executive assessment of top 10 risks with mitigation effectiveness evaluation</w:t>
      </w:r>
    </w:p>
    <w:p>
      <w:pPr>
        <w:pStyle w:val="BodyText"/>
      </w:pPr>
      <w:r>
        <w:rPr>
          <w:b/>
          <w:bCs/>
        </w:rPr>
        <w:t xml:space="preserve">Contingency Reserve Management</w:t>
      </w:r>
      <w:r>
        <w:t xml:space="preserve">: $130K budget ($113K development contingency + $17K operations buffer) with approval thresholds:</w:t>
      </w:r>
      <w:r>
        <w:t xml:space="preserve"> </w:t>
      </w:r>
      <w:r>
        <w:t xml:space="preserve">- &lt;$10K: Project manager approval</w:t>
      </w:r>
      <w:r>
        <w:t xml:space="preserve"> </w:t>
      </w:r>
      <w:r>
        <w:t xml:space="preserve">- $10K-50K: Hupyy leadership approval</w:t>
      </w:r>
      <w:r>
        <w:t xml:space="preserve"> </w:t>
      </w:r>
      <w:r>
        <w:t xml:space="preserve">- &gt;$50K: Joint Hupyy-SRS steering committee approval</w:t>
      </w:r>
    </w:p>
    <w:p>
      <w:r>
        <w:pict>
          <v:rect style="width:0;height:1.5pt" o:hralign="center" o:hrstd="t" o:hr="t"/>
        </w:pict>
      </w:r>
    </w:p>
    <w:bookmarkEnd w:id="96"/>
    <w:bookmarkEnd w:id="97"/>
    <w:bookmarkStart w:id="107" w:name="opportunity-scoring"/>
    <w:p>
      <w:pPr>
        <w:pStyle w:val="Heading2"/>
      </w:pPr>
      <w:r>
        <w:rPr>
          <w:rStyle w:val="SectionNumber"/>
        </w:rPr>
        <w:t xml:space="preserve">1.11</w:t>
      </w:r>
      <w:r>
        <w:tab/>
      </w:r>
      <w:r>
        <w:t xml:space="preserve">Opportunity Scoring</w:t>
      </w:r>
    </w:p>
    <w:bookmarkStart w:id="98" w:name="scoring-methodology"/>
    <w:p>
      <w:pPr>
        <w:pStyle w:val="Heading3"/>
      </w:pPr>
      <w:r>
        <w:rPr>
          <w:rStyle w:val="SectionNumber"/>
        </w:rPr>
        <w:t xml:space="preserve">1.11.1</w:t>
      </w:r>
      <w:r>
        <w:tab/>
      </w:r>
      <w:r>
        <w:t xml:space="preserve">Scoring Methodology</w:t>
      </w:r>
    </w:p>
    <w:p>
      <w:pPr>
        <w:pStyle w:val="FirstParagraph"/>
      </w:pPr>
      <w:r>
        <w:t xml:space="preserve">Opportunity assessed using weighted rubric from</w:t>
      </w:r>
      <w:r>
        <w:t xml:space="preserve"> </w:t>
      </w:r>
      <w:r>
        <w:rPr>
          <w:rStyle w:val="VerbatimChar"/>
        </w:rPr>
        <w:t xml:space="preserve">config/scoring-rubric.yml</w:t>
      </w:r>
      <w:r>
        <w:t xml:space="preserve">:</w:t>
      </w:r>
    </w:p>
    <w:p>
      <w:pPr>
        <w:pStyle w:val="BodyText"/>
      </w:pPr>
      <w:r>
        <w:rPr>
          <w:b/>
          <w:bCs/>
        </w:rPr>
        <w:t xml:space="preserve">Category Weights</w:t>
      </w:r>
      <w:r>
        <w:t xml:space="preserve">:</w:t>
      </w:r>
      <w:r>
        <w:t xml:space="preserve"> </w:t>
      </w:r>
      <w:r>
        <w:t xml:space="preserve">- Market Opportunity: 25%</w:t>
      </w:r>
      <w:r>
        <w:t xml:space="preserve"> </w:t>
      </w:r>
      <w:r>
        <w:t xml:space="preserve">- Technical Feasibility: 25%</w:t>
      </w:r>
      <w:r>
        <w:t xml:space="preserve"> </w:t>
      </w:r>
      <w:r>
        <w:t xml:space="preserve">- Competitive Advantage: 20%</w:t>
      </w:r>
      <w:r>
        <w:t xml:space="preserve"> </w:t>
      </w:r>
      <w:r>
        <w:t xml:space="preserve">- Execution Readiness: 15%</w:t>
      </w:r>
      <w:r>
        <w:t xml:space="preserve"> </w:t>
      </w:r>
      <w:r>
        <w:t xml:space="preserve">- Regulatory Pathway: 15%</w:t>
      </w:r>
    </w:p>
    <w:p>
      <w:pPr>
        <w:pStyle w:val="BodyText"/>
      </w:pPr>
      <w:r>
        <w:rPr>
          <w:b/>
          <w:bCs/>
        </w:rPr>
        <w:t xml:space="preserve">Scoring Scale</w:t>
      </w:r>
      <w:r>
        <w:t xml:space="preserve"> </w:t>
      </w:r>
      <w:r>
        <w:t xml:space="preserve">(0-100 for each criterion):</w:t>
      </w:r>
      <w:r>
        <w:t xml:space="preserve"> </w:t>
      </w:r>
      <w:r>
        <w:t xml:space="preserve">- 90-100: Exceptional - Market-leading position, minimal risk</w:t>
      </w:r>
      <w:r>
        <w:t xml:space="preserve"> </w:t>
      </w:r>
      <w:r>
        <w:t xml:space="preserve">- 70-89: Strong - Clear advantage, manageable risks</w:t>
      </w:r>
      <w:r>
        <w:t xml:space="preserve"> </w:t>
      </w:r>
      <w:r>
        <w:t xml:space="preserve">- 50-69: Moderate - Viable but requires significant effort</w:t>
      </w:r>
      <w:r>
        <w:t xml:space="preserve"> </w:t>
      </w:r>
      <w:r>
        <w:t xml:space="preserve">- 30-49: Weak - Major challenges, questionable viability</w:t>
      </w:r>
      <w:r>
        <w:t xml:space="preserve"> </w:t>
      </w:r>
      <w:r>
        <w:t xml:space="preserve">- 0-29: Poor - Fundamental issues, not recommended</w:t>
      </w:r>
    </w:p>
    <w:bookmarkEnd w:id="98"/>
    <w:bookmarkStart w:id="104" w:name="detailed-scoring-breakdown"/>
    <w:p>
      <w:pPr>
        <w:pStyle w:val="Heading3"/>
      </w:pPr>
      <w:r>
        <w:rPr>
          <w:rStyle w:val="SectionNumber"/>
        </w:rPr>
        <w:t xml:space="preserve">1.11.2</w:t>
      </w:r>
      <w:r>
        <w:tab/>
      </w:r>
      <w:r>
        <w:t xml:space="preserve">Detailed Scoring Breakdown</w:t>
      </w:r>
    </w:p>
    <w:bookmarkStart w:id="99" w:name="market-opportunity-weight-25-score-78100"/>
    <w:p>
      <w:pPr>
        <w:pStyle w:val="Heading4"/>
      </w:pPr>
      <w:r>
        <w:rPr>
          <w:rStyle w:val="SectionNumber"/>
        </w:rPr>
        <w:t xml:space="preserve">1.11.2.1</w:t>
      </w:r>
      <w:r>
        <w:tab/>
      </w:r>
      <w:r>
        <w:t xml:space="preserve">Market Opportunity (Weight: 25%, Score: 78/100)</w:t>
      </w:r>
    </w:p>
    <w:p>
      <w:pPr>
        <w:pStyle w:val="FirstParagraph"/>
      </w:pPr>
      <w:r>
        <w:rPr>
          <w:b/>
          <w:bCs/>
        </w:rPr>
        <w:t xml:space="preserve">TAM/SAM/SOM (Weight: 40%, Score: 82/100)</w:t>
      </w:r>
      <w:r>
        <w:t xml:space="preserve"> </w:t>
      </w:r>
      <w:r>
        <w:t xml:space="preserve">- TAM $3.2-4.5B with 7.5-8.5% CAGR demonstrates substantial market</w:t>
      </w:r>
      <w:r>
        <w:t xml:space="preserve"> </w:t>
      </w:r>
      <w:r>
        <w:t xml:space="preserve">- SAM $960M-$1.35B in regulated industries highly relevant to Hupyy capabilities</w:t>
      </w:r>
      <w:r>
        <w:t xml:space="preserve"> </w:t>
      </w:r>
      <w:r>
        <w:t xml:space="preserve">- SOM $48-67M within 5 years (5% penetration) realistic with SRS partnership</w:t>
      </w:r>
      <w:r>
        <w:t xml:space="preserve"> </w:t>
      </w:r>
      <w:r>
        <w:t xml:space="preserve">-</w:t>
      </w:r>
      <w:r>
        <w:t xml:space="preserve"> </w:t>
      </w:r>
      <w:r>
        <w:rPr>
          <w:b/>
          <w:bCs/>
        </w:rPr>
        <w:t xml:space="preserve">Rationale</w:t>
      </w:r>
      <w:r>
        <w:t xml:space="preserve">: Large addressable market with clear path to obtainable subset; 5% penetration conservative for unique capability</w:t>
      </w:r>
      <w:r>
        <w:t xml:space="preserve"> </w:t>
      </w:r>
      <w:r>
        <w:t xml:space="preserve">-</w:t>
      </w:r>
      <w:r>
        <w:t xml:space="preserve"> </w:t>
      </w:r>
      <w:r>
        <w:rPr>
          <w:b/>
          <w:bCs/>
        </w:rPr>
        <w:t xml:space="preserve">Deduction</w:t>
      </w:r>
      <w:r>
        <w:t xml:space="preserve">: TAM growth (7.5-8.5% CAGR) solid but not exceptional; limited to scientific instruments vertical</w:t>
      </w:r>
    </w:p>
    <w:p>
      <w:pPr>
        <w:pStyle w:val="BodyText"/>
      </w:pPr>
      <w:r>
        <w:rPr>
          <w:b/>
          <w:bCs/>
        </w:rPr>
        <w:t xml:space="preserve">Growth Rate (Weight: 30%, Score: 75/100)</w:t>
      </w:r>
      <w:r>
        <w:t xml:space="preserve"> </w:t>
      </w:r>
      <w:r>
        <w:t xml:space="preserve">- Market growing 7.5-8.5% CAGR (TAM), 9.5% CAGR (SAM), 15-20% CAGR (verified analysis category)</w:t>
      </w:r>
      <w:r>
        <w:t xml:space="preserve"> </w:t>
      </w:r>
      <w:r>
        <w:t xml:space="preserve">- Accelerating trends: laboratory automation 7.2% CAGR, AI adoption 48% of new semiconductor testers (2024)</w:t>
      </w:r>
      <w:r>
        <w:t xml:space="preserve"> </w:t>
      </w:r>
      <w:r>
        <w:t xml:space="preserve">-</w:t>
      </w:r>
      <w:r>
        <w:t xml:space="preserve"> </w:t>
      </w:r>
      <w:r>
        <w:rPr>
          <w:b/>
          <w:bCs/>
        </w:rPr>
        <w:t xml:space="preserve">Rationale</w:t>
      </w:r>
      <w:r>
        <w:t xml:space="preserve">: Category-creating opportunity growing 2x broader market; strong tailwinds</w:t>
      </w:r>
      <w:r>
        <w:t xml:space="preserve"> </w:t>
      </w:r>
      <w:r>
        <w:t xml:space="preserve">-</w:t>
      </w:r>
      <w:r>
        <w:t xml:space="preserve"> </w:t>
      </w:r>
      <w:r>
        <w:rPr>
          <w:b/>
          <w:bCs/>
        </w:rPr>
        <w:t xml:space="preserve">Deduction</w:t>
      </w:r>
      <w:r>
        <w:t xml:space="preserve">: Broader scientific software market growth moderate (not hypergrowth tech sector)</w:t>
      </w:r>
    </w:p>
    <w:p>
      <w:pPr>
        <w:pStyle w:val="BodyText"/>
      </w:pPr>
      <w:r>
        <w:rPr>
          <w:b/>
          <w:bCs/>
        </w:rPr>
        <w:t xml:space="preserve">Customer Pain (Weight: 30%, Score: 75/100)</w:t>
      </w:r>
      <w:r>
        <w:t xml:space="preserve"> </w:t>
      </w:r>
      <w:r>
        <w:t xml:space="preserve">- Acute pain points: $500K-2M manual validation costs, $50-100M recall risks, 20-40% project budgets on compliance</w:t>
      </w:r>
      <w:r>
        <w:t xml:space="preserve"> </w:t>
      </w:r>
      <w:r>
        <w:t xml:space="preserve">- Regulatory enforcement intensifying: FDA 56 warning letters (2023), DO-178C $1M-5M certification costs</w:t>
      </w:r>
      <w:r>
        <w:t xml:space="preserve"> </w:t>
      </w:r>
      <w:r>
        <w:t xml:space="preserve">-</w:t>
      </w:r>
      <w:r>
        <w:t xml:space="preserve"> </w:t>
      </w:r>
      <w:r>
        <w:rPr>
          <w:b/>
          <w:bCs/>
        </w:rPr>
        <w:t xml:space="preserve">Rationale</w:t>
      </w:r>
      <w:r>
        <w:t xml:space="preserve">: Severe, quantified pain with clear ROI justification (5-10x return)</w:t>
      </w:r>
      <w:r>
        <w:t xml:space="preserve"> </w:t>
      </w:r>
      <w:r>
        <w:t xml:space="preserve">-</w:t>
      </w:r>
      <w:r>
        <w:t xml:space="preserve"> </w:t>
      </w:r>
      <w:r>
        <w:rPr>
          <w:b/>
          <w:bCs/>
        </w:rPr>
        <w:t xml:space="preserve">Deduction</w:t>
      </w:r>
      <w:r>
        <w:t xml:space="preserve">: Pain points concentrated in regulated subset (not universal across all labs)</w:t>
      </w:r>
    </w:p>
    <w:p>
      <w:pPr>
        <w:pStyle w:val="BodyText"/>
      </w:pPr>
      <w:r>
        <w:rPr>
          <w:b/>
          <w:bCs/>
        </w:rPr>
        <w:t xml:space="preserve">Market Opportunity Subscore</w:t>
      </w:r>
      <w:r>
        <w:t xml:space="preserve">: (82 × 0.4) + (75 × 0.3) + (75 × 0.3) =</w:t>
      </w:r>
      <w:r>
        <w:t xml:space="preserve"> </w:t>
      </w:r>
      <w:r>
        <w:rPr>
          <w:b/>
          <w:bCs/>
        </w:rPr>
        <w:t xml:space="preserve">77.8/100</w:t>
      </w:r>
    </w:p>
    <w:bookmarkEnd w:id="99"/>
    <w:bookmarkStart w:id="100" w:name="Xf92b60d5b372a707110cc164f33c87ec23da4bf"/>
    <w:p>
      <w:pPr>
        <w:pStyle w:val="Heading4"/>
      </w:pPr>
      <w:r>
        <w:rPr>
          <w:rStyle w:val="SectionNumber"/>
        </w:rPr>
        <w:t xml:space="preserve">1.11.2.2</w:t>
      </w:r>
      <w:r>
        <w:tab/>
      </w:r>
      <w:r>
        <w:t xml:space="preserve">Technical Feasibility (Weight: 25%, Score: 72/100)</w:t>
      </w:r>
    </w:p>
    <w:p>
      <w:pPr>
        <w:pStyle w:val="FirstParagraph"/>
      </w:pPr>
      <w:r>
        <w:rPr>
          <w:b/>
          <w:bCs/>
        </w:rPr>
        <w:t xml:space="preserve">Technology Readiness (Weight: 40%, Score: 75/100)</w:t>
      </w:r>
      <w:r>
        <w:t xml:space="preserve"> </w:t>
      </w:r>
      <w:r>
        <w:t xml:space="preserve">- Proven technologies: Z3 SMT solver (15+ years), Python scientific stack (mature), Qt framework (production-ready)</w:t>
      </w:r>
      <w:r>
        <w:t xml:space="preserve"> </w:t>
      </w:r>
      <w:r>
        <w:t xml:space="preserve">- Benchmark validation: 95% of verifications &lt;100ms; signal processing algorithms verify in 40-180ms</w:t>
      </w:r>
      <w:r>
        <w:t xml:space="preserve"> </w:t>
      </w:r>
      <w:r>
        <w:t xml:space="preserve">-</w:t>
      </w:r>
      <w:r>
        <w:t xml:space="preserve"> </w:t>
      </w:r>
      <w:r>
        <w:rPr>
          <w:b/>
          <w:bCs/>
        </w:rPr>
        <w:t xml:space="preserve">Rationale</w:t>
      </w:r>
      <w:r>
        <w:t xml:space="preserve">: Core technologies mature; performance demonstrated through POCs</w:t>
      </w:r>
      <w:r>
        <w:t xml:space="preserve"> </w:t>
      </w:r>
      <w:r>
        <w:t xml:space="preserve">-</w:t>
      </w:r>
      <w:r>
        <w:t xml:space="preserve"> </w:t>
      </w:r>
      <w:r>
        <w:rPr>
          <w:b/>
          <w:bCs/>
        </w:rPr>
        <w:t xml:space="preserve">Deduction</w:t>
      </w:r>
      <w:r>
        <w:t xml:space="preserve">: Full system integration unproven; scaling to 20-25 products carries execution risk</w:t>
      </w:r>
    </w:p>
    <w:p>
      <w:pPr>
        <w:pStyle w:val="BodyText"/>
      </w:pPr>
      <w:r>
        <w:rPr>
          <w:b/>
          <w:bCs/>
        </w:rPr>
        <w:t xml:space="preserve">Team Capability (Weight: 30%, Score: 70/100)</w:t>
      </w:r>
      <w:r>
        <w:t xml:space="preserve"> </w:t>
      </w:r>
      <w:r>
        <w:t xml:space="preserve">- Hupyy formal verification expertise is unique differentiator</w:t>
      </w:r>
      <w:r>
        <w:t xml:space="preserve"> </w:t>
      </w:r>
      <w:r>
        <w:t xml:space="preserve">- SRS partnership provides domain knowledge and Python framework familiarity</w:t>
      </w:r>
      <w:r>
        <w:t xml:space="preserve"> </w:t>
      </w:r>
      <w:r>
        <w:t xml:space="preserve">-</w:t>
      </w:r>
      <w:r>
        <w:t xml:space="preserve"> </w:t>
      </w:r>
      <w:r>
        <w:rPr>
          <w:b/>
          <w:bCs/>
        </w:rPr>
        <w:t xml:space="preserve">Rationale</w:t>
      </w:r>
      <w:r>
        <w:t xml:space="preserve">: Strong alignment between Hupyy capabilities and opportunity requirements</w:t>
      </w:r>
      <w:r>
        <w:t xml:space="preserve"> </w:t>
      </w:r>
      <w:r>
        <w:t xml:space="preserve">-</w:t>
      </w:r>
      <w:r>
        <w:t xml:space="preserve"> </w:t>
      </w:r>
      <w:r>
        <w:rPr>
          <w:b/>
          <w:bCs/>
        </w:rPr>
        <w:t xml:space="preserve">Deduction</w:t>
      </w:r>
      <w:r>
        <w:t xml:space="preserve">: Small team size (2-3 FTE) limits parallelization; SRS resource dependency risk</w:t>
      </w:r>
    </w:p>
    <w:p>
      <w:pPr>
        <w:pStyle w:val="BodyText"/>
      </w:pPr>
      <w:r>
        <w:rPr>
          <w:b/>
          <w:bCs/>
        </w:rPr>
        <w:t xml:space="preserve">Risk Level (Weight: 30%, Score: 70/100)</w:t>
      </w:r>
      <w:r>
        <w:t xml:space="preserve"> </w:t>
      </w:r>
      <w:r>
        <w:t xml:space="preserve">- Technical risks identified with mitigation strategies: verification performance (POC validation), integration complexity (plugin architecture), AI training data (synthetic generation)</w:t>
      </w:r>
      <w:r>
        <w:t xml:space="preserve"> </w:t>
      </w:r>
      <w:r>
        <w:t xml:space="preserve">- Contingency plans defined for major failure modes</w:t>
      </w:r>
      <w:r>
        <w:t xml:space="preserve"> </w:t>
      </w:r>
      <w:r>
        <w:t xml:space="preserve">-</w:t>
      </w:r>
      <w:r>
        <w:t xml:space="preserve"> </w:t>
      </w:r>
      <w:r>
        <w:rPr>
          <w:b/>
          <w:bCs/>
        </w:rPr>
        <w:t xml:space="preserve">Rationale</w:t>
      </w:r>
      <w:r>
        <w:t xml:space="preserve">: Risks understood and addressable through engineering best practices</w:t>
      </w:r>
      <w:r>
        <w:t xml:space="preserve"> </w:t>
      </w:r>
      <w:r>
        <w:t xml:space="preserve">-</w:t>
      </w:r>
      <w:r>
        <w:t xml:space="preserve"> </w:t>
      </w:r>
      <w:r>
        <w:rPr>
          <w:b/>
          <w:bCs/>
        </w:rPr>
        <w:t xml:space="preserve">Deduction</w:t>
      </w:r>
      <w:r>
        <w:t xml:space="preserve">: Verification performance overhead (30% probability, high impact) remains material risk until Phase 1 validation</w:t>
      </w:r>
    </w:p>
    <w:p>
      <w:pPr>
        <w:pStyle w:val="BodyText"/>
      </w:pPr>
      <w:r>
        <w:rPr>
          <w:b/>
          <w:bCs/>
        </w:rPr>
        <w:t xml:space="preserve">Technical Feasibility Subscore</w:t>
      </w:r>
      <w:r>
        <w:t xml:space="preserve">: (75 × 0.4) + (70 × 0.3) + (70 × 0.3) =</w:t>
      </w:r>
      <w:r>
        <w:t xml:space="preserve"> </w:t>
      </w:r>
      <w:r>
        <w:rPr>
          <w:b/>
          <w:bCs/>
        </w:rPr>
        <w:t xml:space="preserve">72.0/100</w:t>
      </w:r>
    </w:p>
    <w:bookmarkEnd w:id="100"/>
    <w:bookmarkStart w:id="101" w:name="Xfe0c7c7e2061c0ef5a56781e529db713a3225e5"/>
    <w:p>
      <w:pPr>
        <w:pStyle w:val="Heading4"/>
      </w:pPr>
      <w:r>
        <w:rPr>
          <w:rStyle w:val="SectionNumber"/>
        </w:rPr>
        <w:t xml:space="preserve">1.11.2.3</w:t>
      </w:r>
      <w:r>
        <w:tab/>
      </w:r>
      <w:r>
        <w:t xml:space="preserve">Competitive Advantage (Weight: 20%, Score: 80/100)</w:t>
      </w:r>
    </w:p>
    <w:p>
      <w:pPr>
        <w:pStyle w:val="FirstParagraph"/>
      </w:pPr>
      <w:r>
        <w:rPr>
          <w:b/>
          <w:bCs/>
        </w:rPr>
        <w:t xml:space="preserve">Differentiation (Weight: 50%, Score: 85/100)</w:t>
      </w:r>
      <w:r>
        <w:t xml:space="preserve"> </w:t>
      </w:r>
      <w:r>
        <w:t xml:space="preserve">-</w:t>
      </w:r>
      <w:r>
        <w:t xml:space="preserve"> </w:t>
      </w:r>
      <w:r>
        <w:rPr>
          <w:b/>
          <w:bCs/>
        </w:rPr>
        <w:t xml:space="preserve">Unique capability</w:t>
      </w:r>
      <w:r>
        <w:t xml:space="preserve">: No competitor offers formal verification of scientific data analysis (category-defining)</w:t>
      </w:r>
      <w:r>
        <w:t xml:space="preserve"> </w:t>
      </w:r>
      <w:r>
        <w:t xml:space="preserve">- AI explainability gap: Regulatory bodies require explainable AI; Hupyy provides mathematical guarantees</w:t>
      </w:r>
      <w:r>
        <w:t xml:space="preserve"> </w:t>
      </w:r>
      <w:r>
        <w:t xml:space="preserve">- Compliance automation: 50% time reduction (6 months → 6 weeks validation timeline)</w:t>
      </w:r>
      <w:r>
        <w:t xml:space="preserve"> </w:t>
      </w:r>
      <w:r>
        <w:t xml:space="preserve">-</w:t>
      </w:r>
      <w:r>
        <w:t xml:space="preserve"> </w:t>
      </w:r>
      <w:r>
        <w:rPr>
          <w:b/>
          <w:bCs/>
        </w:rPr>
        <w:t xml:space="preserve">Rationale</w:t>
      </w:r>
      <w:r>
        <w:t xml:space="preserve">: Clear, defensible differentiation addressing unmet market need</w:t>
      </w:r>
      <w:r>
        <w:t xml:space="preserve"> </w:t>
      </w:r>
      <w:r>
        <w:t xml:space="preserve">-</w:t>
      </w:r>
      <w:r>
        <w:t xml:space="preserve"> </w:t>
      </w:r>
      <w:r>
        <w:rPr>
          <w:b/>
          <w:bCs/>
        </w:rPr>
        <w:t xml:space="preserve">Deduction</w:t>
      </w:r>
      <w:r>
        <w:t xml:space="preserve">: Differentiation concentrated in regulated markets (may not resonate with all segments)</w:t>
      </w:r>
    </w:p>
    <w:p>
      <w:pPr>
        <w:pStyle w:val="BodyText"/>
      </w:pPr>
      <w:r>
        <w:rPr>
          <w:b/>
          <w:bCs/>
        </w:rPr>
        <w:t xml:space="preserve">Moat Strength (Weight: 50%, Score: 75/100)</w:t>
      </w:r>
      <w:r>
        <w:t xml:space="preserve"> </w:t>
      </w:r>
      <w:r>
        <w:t xml:space="preserve">-</w:t>
      </w:r>
      <w:r>
        <w:t xml:space="preserve"> </w:t>
      </w:r>
      <w:r>
        <w:rPr>
          <w:b/>
          <w:bCs/>
        </w:rPr>
        <w:t xml:space="preserve">2-3 year window</w:t>
      </w:r>
      <w:r>
        <w:t xml:space="preserve"> </w:t>
      </w:r>
      <w:r>
        <w:t xml:space="preserve">before incumbents can respond (architectural constraints, talent scarcity)</w:t>
      </w:r>
      <w:r>
        <w:t xml:space="preserve"> </w:t>
      </w:r>
      <w:r>
        <w:t xml:space="preserve">- Barriers to entry: Formal verification expertise (scarce talent), regulatory certifications (FDA 510(k), ISO 13485), SRS exclusive partnership</w:t>
      </w:r>
      <w:r>
        <w:t xml:space="preserve"> </w:t>
      </w:r>
      <w:r>
        <w:t xml:space="preserve">- Network effects: Verified analysis methods library grows with usage</w:t>
      </w:r>
      <w:r>
        <w:t xml:space="preserve"> </w:t>
      </w:r>
      <w:r>
        <w:t xml:space="preserve">-</w:t>
      </w:r>
      <w:r>
        <w:t xml:space="preserve"> </w:t>
      </w:r>
      <w:r>
        <w:rPr>
          <w:b/>
          <w:bCs/>
        </w:rPr>
        <w:t xml:space="preserve">Rationale</w:t>
      </w:r>
      <w:r>
        <w:t xml:space="preserve">: Multiple moat layers with 2-3 year defensibility period</w:t>
      </w:r>
      <w:r>
        <w:t xml:space="preserve"> </w:t>
      </w:r>
      <w:r>
        <w:t xml:space="preserve">-</w:t>
      </w:r>
      <w:r>
        <w:t xml:space="preserve"> </w:t>
      </w:r>
      <w:r>
        <w:rPr>
          <w:b/>
          <w:bCs/>
        </w:rPr>
        <w:t xml:space="preserve">Deduction</w:t>
      </w:r>
      <w:r>
        <w:t xml:space="preserve">: Moats erode over time; incumbents (NI, MathWorks) have resources to eventually respond; patents pending but not granted</w:t>
      </w:r>
    </w:p>
    <w:p>
      <w:pPr>
        <w:pStyle w:val="BodyText"/>
      </w:pPr>
      <w:r>
        <w:rPr>
          <w:b/>
          <w:bCs/>
        </w:rPr>
        <w:t xml:space="preserve">Competitive Advantage Subscore</w:t>
      </w:r>
      <w:r>
        <w:t xml:space="preserve">: (85 × 0.5) + (75 × 0.5) =</w:t>
      </w:r>
      <w:r>
        <w:t xml:space="preserve"> </w:t>
      </w:r>
      <w:r>
        <w:rPr>
          <w:b/>
          <w:bCs/>
        </w:rPr>
        <w:t xml:space="preserve">80.0/100</w:t>
      </w:r>
    </w:p>
    <w:bookmarkEnd w:id="101"/>
    <w:bookmarkStart w:id="102" w:name="Xcfb0d070d87d4fbec70880242ed08898f89ceac"/>
    <w:p>
      <w:pPr>
        <w:pStyle w:val="Heading4"/>
      </w:pPr>
      <w:r>
        <w:rPr>
          <w:rStyle w:val="SectionNumber"/>
        </w:rPr>
        <w:t xml:space="preserve">1.11.2.4</w:t>
      </w:r>
      <w:r>
        <w:tab/>
      </w:r>
      <w:r>
        <w:t xml:space="preserve">Execution Readiness (Weight: 15%, Score: 68/100)</w:t>
      </w:r>
    </w:p>
    <w:p>
      <w:pPr>
        <w:pStyle w:val="FirstParagraph"/>
      </w:pPr>
      <w:r>
        <w:rPr>
          <w:b/>
          <w:bCs/>
        </w:rPr>
        <w:t xml:space="preserve">Timeline (Weight: 30%, Score: 72/100)</w:t>
      </w:r>
      <w:r>
        <w:t xml:space="preserve"> </w:t>
      </w:r>
      <w:r>
        <w:t xml:space="preserve">-</w:t>
      </w:r>
      <w:r>
        <w:t xml:space="preserve"> </w:t>
      </w:r>
      <w:r>
        <w:rPr>
          <w:b/>
          <w:bCs/>
        </w:rPr>
        <w:t xml:space="preserve">13-month development timeline</w:t>
      </w:r>
      <w:r>
        <w:t xml:space="preserve"> </w:t>
      </w:r>
      <w:r>
        <w:t xml:space="preserve">Phase 1-3 aggressive but achievable with phased approach</w:t>
      </w:r>
      <w:r>
        <w:t xml:space="preserve"> </w:t>
      </w:r>
      <w:r>
        <w:t xml:space="preserve">- Time-to-market critical: 2-3 year window before competitive response</w:t>
      </w:r>
      <w:r>
        <w:t xml:space="preserve"> </w:t>
      </w:r>
      <w:r>
        <w:t xml:space="preserve">-</w:t>
      </w:r>
      <w:r>
        <w:t xml:space="preserve"> </w:t>
      </w:r>
      <w:r>
        <w:rPr>
          <w:b/>
          <w:bCs/>
        </w:rPr>
        <w:t xml:space="preserve">Rationale</w:t>
      </w:r>
      <w:r>
        <w:t xml:space="preserve">: Timeline aligned with market window; phased validation reduces risk</w:t>
      </w:r>
      <w:r>
        <w:t xml:space="preserve"> </w:t>
      </w:r>
      <w:r>
        <w:t xml:space="preserve">-</w:t>
      </w:r>
      <w:r>
        <w:t xml:space="preserve"> </w:t>
      </w:r>
      <w:r>
        <w:rPr>
          <w:b/>
          <w:bCs/>
        </w:rPr>
        <w:t xml:space="preserve">Deduction</w:t>
      </w:r>
      <w:r>
        <w:t xml:space="preserve">: Timeline aggressive with limited buffer; delays cascade (critical path constraints)</w:t>
      </w:r>
    </w:p>
    <w:p>
      <w:pPr>
        <w:pStyle w:val="BodyText"/>
      </w:pPr>
      <w:r>
        <w:rPr>
          <w:b/>
          <w:bCs/>
        </w:rPr>
        <w:t xml:space="preserve">Investment (Weight: 30%, Score: 70/100)</w:t>
      </w:r>
      <w:r>
        <w:t xml:space="preserve"> </w:t>
      </w:r>
      <w:r>
        <w:t xml:space="preserve">-</w:t>
      </w:r>
      <w:r>
        <w:t xml:space="preserve"> </w:t>
      </w:r>
      <w:r>
        <w:rPr>
          <w:b/>
          <w:bCs/>
        </w:rPr>
        <w:t xml:space="preserve">$755K development + $558K Year 1 operations</w:t>
      </w:r>
      <w:r>
        <w:t xml:space="preserve"> </w:t>
      </w:r>
      <w:r>
        <w:t xml:space="preserve">= $1.31M total to break-even (reasonable for opportunity size)</w:t>
      </w:r>
      <w:r>
        <w:t xml:space="preserve"> </w:t>
      </w:r>
      <w:r>
        <w:t xml:space="preserve">- Bootstrap option viable ($600K Hupyy cash with SRS co-investment)</w:t>
      </w:r>
      <w:r>
        <w:t xml:space="preserve"> </w:t>
      </w:r>
      <w:r>
        <w:t xml:space="preserve">-</w:t>
      </w:r>
      <w:r>
        <w:t xml:space="preserve"> </w:t>
      </w:r>
      <w:r>
        <w:rPr>
          <w:b/>
          <w:bCs/>
        </w:rPr>
        <w:t xml:space="preserve">Rationale</w:t>
      </w:r>
      <w:r>
        <w:t xml:space="preserve">: Investment requirement manageable; strong ROI (12.5x over 5 years)</w:t>
      </w:r>
      <w:r>
        <w:t xml:space="preserve"> </w:t>
      </w:r>
      <w:r>
        <w:t xml:space="preserve">-</w:t>
      </w:r>
      <w:r>
        <w:t xml:space="preserve"> </w:t>
      </w:r>
      <w:r>
        <w:rPr>
          <w:b/>
          <w:bCs/>
        </w:rPr>
        <w:t xml:space="preserve">Deduction</w:t>
      </w:r>
      <w:r>
        <w:t xml:space="preserve">: Capital requirements may stretch bootstrap scenario; external funding reduces execution risk</w:t>
      </w:r>
    </w:p>
    <w:p>
      <w:pPr>
        <w:pStyle w:val="BodyText"/>
      </w:pPr>
      <w:r>
        <w:rPr>
          <w:b/>
          <w:bCs/>
        </w:rPr>
        <w:t xml:space="preserve">Partnerships (Weight: 40%, Score: 65/100)</w:t>
      </w:r>
      <w:r>
        <w:t xml:space="preserve"> </w:t>
      </w:r>
      <w:r>
        <w:t xml:space="preserve">-</w:t>
      </w:r>
      <w:r>
        <w:t xml:space="preserve"> </w:t>
      </w:r>
      <w:r>
        <w:rPr>
          <w:b/>
          <w:bCs/>
        </w:rPr>
        <w:t xml:space="preserve">SRS partnership critical</w:t>
      </w:r>
      <w:r>
        <w:t xml:space="preserve">: Provides beachhead market, domain expertise, customer access, distribution</w:t>
      </w:r>
      <w:r>
        <w:t xml:space="preserve"> </w:t>
      </w:r>
      <w:r>
        <w:t xml:space="preserve">- Partnership dependency risk: SRS strategic shift (20% probability, critical impact)</w:t>
      </w:r>
      <w:r>
        <w:t xml:space="preserve"> </w:t>
      </w:r>
      <w:r>
        <w:t xml:space="preserve">-</w:t>
      </w:r>
      <w:r>
        <w:t xml:space="preserve"> </w:t>
      </w:r>
      <w:r>
        <w:rPr>
          <w:b/>
          <w:bCs/>
        </w:rPr>
        <w:t xml:space="preserve">Rationale</w:t>
      </w:r>
      <w:r>
        <w:t xml:space="preserve">: Strong partnership with aligned incentives; SRS benefits from differentiated software offering</w:t>
      </w:r>
      <w:r>
        <w:t xml:space="preserve"> </w:t>
      </w:r>
      <w:r>
        <w:t xml:space="preserve">-</w:t>
      </w:r>
      <w:r>
        <w:t xml:space="preserve"> </w:t>
      </w:r>
      <w:r>
        <w:rPr>
          <w:b/>
          <w:bCs/>
        </w:rPr>
        <w:t xml:space="preserve">Deduction</w:t>
      </w:r>
      <w:r>
        <w:t xml:space="preserve">: High dependency on single partner; SRS resource allocation uncertainty; partnership termination is existential risk</w:t>
      </w:r>
    </w:p>
    <w:p>
      <w:pPr>
        <w:pStyle w:val="BodyText"/>
      </w:pPr>
      <w:r>
        <w:rPr>
          <w:b/>
          <w:bCs/>
        </w:rPr>
        <w:t xml:space="preserve">Execution Readiness Subscore</w:t>
      </w:r>
      <w:r>
        <w:t xml:space="preserve">: (72 × 0.3) + (70 × 0.3) + (65 × 0.4) =</w:t>
      </w:r>
      <w:r>
        <w:t xml:space="preserve"> </w:t>
      </w:r>
      <w:r>
        <w:rPr>
          <w:b/>
          <w:bCs/>
        </w:rPr>
        <w:t xml:space="preserve">67.6/100</w:t>
      </w:r>
    </w:p>
    <w:bookmarkEnd w:id="102"/>
    <w:bookmarkStart w:id="103" w:name="regulatory-pathway-weight-15-score-65100"/>
    <w:p>
      <w:pPr>
        <w:pStyle w:val="Heading4"/>
      </w:pPr>
      <w:r>
        <w:rPr>
          <w:rStyle w:val="SectionNumber"/>
        </w:rPr>
        <w:t xml:space="preserve">1.11.2.5</w:t>
      </w:r>
      <w:r>
        <w:tab/>
      </w:r>
      <w:r>
        <w:t xml:space="preserve">Regulatory Pathway (Weight: 15%, Score: 65/100)</w:t>
      </w:r>
    </w:p>
    <w:p>
      <w:pPr>
        <w:pStyle w:val="FirstParagraph"/>
      </w:pPr>
      <w:r>
        <w:rPr>
          <w:b/>
          <w:bCs/>
        </w:rPr>
        <w:t xml:space="preserve">Clarity (Weight: 40%, Score: 70/100)</w:t>
      </w:r>
      <w:r>
        <w:t xml:space="preserve"> </w:t>
      </w:r>
      <w:r>
        <w:t xml:space="preserve">- Regulatory frameworks well-defined: FDA 21 CFR Part 11, ISO 17025, ISO 13485, IEC 62304, DO-178C</w:t>
      </w:r>
      <w:r>
        <w:t xml:space="preserve"> </w:t>
      </w:r>
      <w:r>
        <w:t xml:space="preserve">- Formal verification recognized by IEC 62304:</w:t>
      </w:r>
      <w:r>
        <w:t xml:space="preserve"> </w:t>
      </w:r>
      <w:r>
        <w:t xml:space="preserve">“Verification can be achieved by testing, inspection, analysis, or</w:t>
      </w:r>
      <w:r>
        <w:t xml:space="preserve"> </w:t>
      </w:r>
      <w:r>
        <w:rPr>
          <w:b/>
          <w:bCs/>
        </w:rPr>
        <w:t xml:space="preserve">formal proof</w:t>
      </w:r>
      <w:r>
        <w:t xml:space="preserve">”</w:t>
      </w:r>
      <w:r>
        <w:t xml:space="preserve"> </w:t>
      </w:r>
      <w:r>
        <w:t xml:space="preserve">-</w:t>
      </w:r>
      <w:r>
        <w:t xml:space="preserve"> </w:t>
      </w:r>
      <w:r>
        <w:rPr>
          <w:b/>
          <w:bCs/>
        </w:rPr>
        <w:t xml:space="preserve">Rationale</w:t>
      </w:r>
      <w:r>
        <w:t xml:space="preserve">: Clear regulatory pathways with precedents; formal verification accepted methodology</w:t>
      </w:r>
      <w:r>
        <w:t xml:space="preserve"> </w:t>
      </w:r>
      <w:r>
        <w:t xml:space="preserve">-</w:t>
      </w:r>
      <w:r>
        <w:t xml:space="preserve"> </w:t>
      </w:r>
      <w:r>
        <w:rPr>
          <w:b/>
          <w:bCs/>
        </w:rPr>
        <w:t xml:space="preserve">Deduction</w:t>
      </w:r>
      <w:r>
        <w:t xml:space="preserve">: Formal verification novel in this application; requires reviewer education (FDA pre-submission meeting critical)</w:t>
      </w:r>
    </w:p>
    <w:p>
      <w:pPr>
        <w:pStyle w:val="BodyText"/>
      </w:pPr>
      <w:r>
        <w:rPr>
          <w:b/>
          <w:bCs/>
        </w:rPr>
        <w:t xml:space="preserve">Precedents (Weight: 30%, Score: 65/100)</w:t>
      </w:r>
      <w:r>
        <w:t xml:space="preserve"> </w:t>
      </w:r>
      <w:r>
        <w:t xml:space="preserve">- Commercial off-the-shelf software precedents for ISO 17025 (Clause 6.4.13)</w:t>
      </w:r>
      <w:r>
        <w:t xml:space="preserve"> </w:t>
      </w:r>
      <w:r>
        <w:t xml:space="preserve">- Medical device software lifecycle (IEC 62304) established process</w:t>
      </w:r>
      <w:r>
        <w:t xml:space="preserve"> </w:t>
      </w:r>
      <w:r>
        <w:t xml:space="preserve">-</w:t>
      </w:r>
      <w:r>
        <w:t xml:space="preserve"> </w:t>
      </w:r>
      <w:r>
        <w:rPr>
          <w:b/>
          <w:bCs/>
        </w:rPr>
        <w:t xml:space="preserve">Rationale</w:t>
      </w:r>
      <w:r>
        <w:t xml:space="preserve">: Regulatory processes proven; software certification pathways exist</w:t>
      </w:r>
      <w:r>
        <w:t xml:space="preserve"> </w:t>
      </w:r>
      <w:r>
        <w:t xml:space="preserve">-</w:t>
      </w:r>
      <w:r>
        <w:t xml:space="preserve"> </w:t>
      </w:r>
      <w:r>
        <w:rPr>
          <w:b/>
          <w:bCs/>
        </w:rPr>
        <w:t xml:space="preserve">Deduction</w:t>
      </w:r>
      <w:r>
        <w:t xml:space="preserve">: Limited precedents for AI + formal verification combination in scientific instruments (novel application requires education)</w:t>
      </w:r>
    </w:p>
    <w:p>
      <w:pPr>
        <w:pStyle w:val="BodyText"/>
      </w:pPr>
      <w:r>
        <w:rPr>
          <w:b/>
          <w:bCs/>
        </w:rPr>
        <w:t xml:space="preserve">Timeline (Weight: 30%, Score: 60/100)</w:t>
      </w:r>
      <w:r>
        <w:t xml:space="preserve"> </w:t>
      </w:r>
      <w:r>
        <w:t xml:space="preserve">-</w:t>
      </w:r>
      <w:r>
        <w:t xml:space="preserve"> </w:t>
      </w:r>
      <w:r>
        <w:rPr>
          <w:b/>
          <w:bCs/>
        </w:rPr>
        <w:t xml:space="preserve">Phase 1 (Foundation)</w:t>
      </w:r>
      <w:r>
        <w:t xml:space="preserve">: 18 months, $1.2M → Opens pharmaceutical and lab testing markets</w:t>
      </w:r>
      <w:r>
        <w:t xml:space="preserve"> </w:t>
      </w:r>
      <w:r>
        <w:t xml:space="preserve">-</w:t>
      </w:r>
      <w:r>
        <w:t xml:space="preserve"> </w:t>
      </w:r>
      <w:r>
        <w:rPr>
          <w:b/>
          <w:bCs/>
        </w:rPr>
        <w:t xml:space="preserve">Phase 2 (Medical Device)</w:t>
      </w:r>
      <w:r>
        <w:t xml:space="preserve">: 24 months, $1.4M → FDA 510(k) and EU MDR CE marking</w:t>
      </w:r>
      <w:r>
        <w:t xml:space="preserve"> </w:t>
      </w:r>
      <w:r>
        <w:t xml:space="preserve">-</w:t>
      </w:r>
      <w:r>
        <w:t xml:space="preserve"> </w:t>
      </w:r>
      <w:r>
        <w:rPr>
          <w:b/>
          <w:bCs/>
        </w:rPr>
        <w:t xml:space="preserve">Rationale</w:t>
      </w:r>
      <w:r>
        <w:t xml:space="preserve">: Phased approach manages investment risk; Phase 1 foundation enables Phase 2</w:t>
      </w:r>
      <w:r>
        <w:t xml:space="preserve"> </w:t>
      </w:r>
      <w:r>
        <w:t xml:space="preserve">-</w:t>
      </w:r>
      <w:r>
        <w:t xml:space="preserve"> </w:t>
      </w:r>
      <w:r>
        <w:rPr>
          <w:b/>
          <w:bCs/>
        </w:rPr>
        <w:t xml:space="preserve">Deduction</w:t>
      </w:r>
      <w:r>
        <w:t xml:space="preserve">: 3+ year timeline to full regulatory coverage; FDA 510(k) success probability 70-80% first submission (may require iteration)</w:t>
      </w:r>
    </w:p>
    <w:p>
      <w:pPr>
        <w:pStyle w:val="BodyText"/>
      </w:pPr>
      <w:r>
        <w:rPr>
          <w:b/>
          <w:bCs/>
        </w:rPr>
        <w:t xml:space="preserve">Regulatory Pathway Subscore</w:t>
      </w:r>
      <w:r>
        <w:t xml:space="preserve">: (70 × 0.4) + (65 × 0.3) + (60 × 0.3) =</w:t>
      </w:r>
      <w:r>
        <w:t xml:space="preserve"> </w:t>
      </w:r>
      <w:r>
        <w:rPr>
          <w:b/>
          <w:bCs/>
        </w:rPr>
        <w:t xml:space="preserve">66.5/100</w:t>
      </w:r>
    </w:p>
    <w:bookmarkEnd w:id="103"/>
    <w:bookmarkEnd w:id="104"/>
    <w:bookmarkStart w:id="105" w:name="total-opportunity-score"/>
    <w:p>
      <w:pPr>
        <w:pStyle w:val="Heading3"/>
      </w:pPr>
      <w:r>
        <w:rPr>
          <w:rStyle w:val="SectionNumber"/>
        </w:rPr>
        <w:t xml:space="preserve">1.11.3</w:t>
      </w:r>
      <w:r>
        <w:tab/>
      </w:r>
      <w:r>
        <w:t xml:space="preserve">Total Opportunity Score</w:t>
      </w:r>
    </w:p>
    <w:p>
      <w:pPr>
        <w:pStyle w:val="FirstParagraph"/>
      </w:pPr>
      <w:r>
        <w:rPr>
          <w:b/>
          <w:bCs/>
        </w:rPr>
        <w:t xml:space="preserve">Weighted Score Calculation</w:t>
      </w:r>
      <w:r>
        <w:t xml:space="preserve">:</w:t>
      </w:r>
      <w:r>
        <w:t xml:space="preserve"> </w:t>
      </w:r>
      <w:r>
        <w:t xml:space="preserve">- Market Opportunity: 77.8 × 0.25 =</w:t>
      </w:r>
      <w:r>
        <w:t xml:space="preserve"> </w:t>
      </w:r>
      <w:r>
        <w:rPr>
          <w:b/>
          <w:bCs/>
        </w:rPr>
        <w:t xml:space="preserve">19.45</w:t>
      </w:r>
      <w:r>
        <w:t xml:space="preserve"> </w:t>
      </w:r>
      <w:r>
        <w:t xml:space="preserve">- Technical Feasibility: 72.0 × 0.25 =</w:t>
      </w:r>
      <w:r>
        <w:t xml:space="preserve"> </w:t>
      </w:r>
      <w:r>
        <w:rPr>
          <w:b/>
          <w:bCs/>
        </w:rPr>
        <w:t xml:space="preserve">18.00</w:t>
      </w:r>
      <w:r>
        <w:t xml:space="preserve"> </w:t>
      </w:r>
      <w:r>
        <w:t xml:space="preserve">- Competitive Advantage: 80.0 × 0.20 =</w:t>
      </w:r>
      <w:r>
        <w:t xml:space="preserve"> </w:t>
      </w:r>
      <w:r>
        <w:rPr>
          <w:b/>
          <w:bCs/>
        </w:rPr>
        <w:t xml:space="preserve">16.00</w:t>
      </w:r>
      <w:r>
        <w:t xml:space="preserve"> </w:t>
      </w:r>
      <w:r>
        <w:t xml:space="preserve">- Execution Readiness: 67.6 × 0.15 =</w:t>
      </w:r>
      <w:r>
        <w:t xml:space="preserve"> </w:t>
      </w:r>
      <w:r>
        <w:rPr>
          <w:b/>
          <w:bCs/>
        </w:rPr>
        <w:t xml:space="preserve">10.14</w:t>
      </w:r>
      <w:r>
        <w:t xml:space="preserve"> </w:t>
      </w:r>
      <w:r>
        <w:t xml:space="preserve">- Regulatory Pathway: 66.5 × 0.15 =</w:t>
      </w:r>
      <w:r>
        <w:t xml:space="preserve"> </w:t>
      </w:r>
      <w:r>
        <w:rPr>
          <w:b/>
          <w:bCs/>
        </w:rPr>
        <w:t xml:space="preserve">9.98</w:t>
      </w:r>
    </w:p>
    <w:p>
      <w:pPr>
        <w:pStyle w:val="BodyText"/>
      </w:pPr>
      <w:r>
        <w:rPr>
          <w:b/>
          <w:bCs/>
        </w:rPr>
        <w:t xml:space="preserve">TOTAL SCORE</w:t>
      </w:r>
      <w:r>
        <w:t xml:space="preserve">:</w:t>
      </w:r>
      <w:r>
        <w:t xml:space="preserve"> </w:t>
      </w:r>
      <w:r>
        <w:rPr>
          <w:b/>
          <w:bCs/>
        </w:rPr>
        <w:t xml:space="preserve">73.57/100</w:t>
      </w:r>
      <w:r>
        <w:t xml:space="preserve"> </w:t>
      </w:r>
      <w:r>
        <w:t xml:space="preserve">(rounded to</w:t>
      </w:r>
      <w:r>
        <w:t xml:space="preserve"> </w:t>
      </w:r>
      <w:r>
        <w:rPr>
          <w:b/>
          <w:bCs/>
        </w:rPr>
        <w:t xml:space="preserve">73/100</w:t>
      </w:r>
      <w:r>
        <w:t xml:space="preserve">)</w:t>
      </w:r>
    </w:p>
    <w:bookmarkEnd w:id="105"/>
    <w:bookmarkStart w:id="106" w:name="score-interpretation"/>
    <w:p>
      <w:pPr>
        <w:pStyle w:val="Heading3"/>
      </w:pPr>
      <w:r>
        <w:rPr>
          <w:rStyle w:val="SectionNumber"/>
        </w:rPr>
        <w:t xml:space="preserve">1.11.4</w:t>
      </w:r>
      <w:r>
        <w:tab/>
      </w:r>
      <w:r>
        <w:t xml:space="preserve">Score Interpretation</w:t>
      </w:r>
    </w:p>
    <w:p>
      <w:pPr>
        <w:pStyle w:val="FirstParagraph"/>
      </w:pPr>
      <w:r>
        <w:rPr>
          <w:b/>
          <w:bCs/>
        </w:rPr>
        <w:t xml:space="preserve">Threshold Analysis</w:t>
      </w:r>
      <w:r>
        <w:t xml:space="preserve"> </w:t>
      </w:r>
      <w:r>
        <w:t xml:space="preserve">(from</w:t>
      </w:r>
      <w:r>
        <w:t xml:space="preserve"> </w:t>
      </w:r>
      <w:r>
        <w:rPr>
          <w:rStyle w:val="VerbatimChar"/>
        </w:rPr>
        <w:t xml:space="preserve">config/scoring-rubric.yml</w:t>
      </w:r>
      <w:r>
        <w:t xml:space="preserve">):</w:t>
      </w:r>
      <w:r>
        <w:t xml:space="preserve"> </w:t>
      </w:r>
      <w:r>
        <w:t xml:space="preserve">- Strong GO: 80-100 → High confidence opportunity</w:t>
      </w:r>
      <w:r>
        <w:t xml:space="preserve"> </w:t>
      </w:r>
      <w:r>
        <w:t xml:space="preserve">- GO: 65-79 → Proceed with confidence</w:t>
      </w:r>
      <w:r>
        <w:t xml:space="preserve"> </w:t>
      </w:r>
      <w:r>
        <w:t xml:space="preserve">- Conditional GO: 50-64 → Proceed with caution, address risks</w:t>
      </w:r>
      <w:r>
        <w:t xml:space="preserve"> </w:t>
      </w:r>
      <w:r>
        <w:t xml:space="preserve">- NO-GO: &lt;50 → Not viable</w:t>
      </w:r>
    </w:p>
    <w:p>
      <w:pPr>
        <w:pStyle w:val="BodyText"/>
      </w:pPr>
      <w:r>
        <w:rPr>
          <w:b/>
          <w:bCs/>
        </w:rPr>
        <w:t xml:space="preserve">Result</w:t>
      </w:r>
      <w:r>
        <w:t xml:space="preserve">:</w:t>
      </w:r>
      <w:r>
        <w:t xml:space="preserve"> </w:t>
      </w:r>
      <w:r>
        <w:rPr>
          <w:b/>
          <w:bCs/>
        </w:rPr>
        <w:t xml:space="preserve">Score 73 = GO with Confidence</w:t>
      </w:r>
    </w:p>
    <w:p>
      <w:pPr>
        <w:pStyle w:val="BodyText"/>
      </w:pPr>
      <w:r>
        <w:rPr>
          <w:b/>
          <w:bCs/>
        </w:rPr>
        <w:t xml:space="preserve">Assessment</w:t>
      </w:r>
      <w:r>
        <w:t xml:space="preserve">: The opportunity scores in the</w:t>
      </w:r>
      <w:r>
        <w:t xml:space="preserve"> </w:t>
      </w:r>
      <w:r>
        <w:t xml:space="preserve">“GO”</w:t>
      </w:r>
      <w:r>
        <w:t xml:space="preserve"> </w:t>
      </w:r>
      <w:r>
        <w:t xml:space="preserve">range, just below</w:t>
      </w:r>
      <w:r>
        <w:t xml:space="preserve"> </w:t>
      </w:r>
      <w:r>
        <w:t xml:space="preserve">“Strong GO”</w:t>
      </w:r>
      <w:r>
        <w:t xml:space="preserve"> </w:t>
      </w:r>
      <w:r>
        <w:t xml:space="preserve">threshold. This indicates a compelling opportunity with clear value proposition, technical feasibility, and market potential, balanced by execution challenges and regulatory complexity requiring disciplined risk management.</w:t>
      </w:r>
    </w:p>
    <w:p>
      <w:pPr>
        <w:pStyle w:val="BodyText"/>
      </w:pPr>
      <w:r>
        <w:rPr>
          <w:b/>
          <w:bCs/>
        </w:rPr>
        <w:t xml:space="preserve">Strengths Elevating Score</w:t>
      </w:r>
      <w:r>
        <w:t xml:space="preserve">:</w:t>
      </w:r>
      <w:r>
        <w:t xml:space="preserve"> </w:t>
      </w:r>
      <w:r>
        <w:t xml:space="preserve">1.</w:t>
      </w:r>
      <w:r>
        <w:t xml:space="preserve"> </w:t>
      </w:r>
      <w:r>
        <w:rPr>
          <w:b/>
          <w:bCs/>
        </w:rPr>
        <w:t xml:space="preserve">Competitive Advantage (80/100)</w:t>
      </w:r>
      <w:r>
        <w:t xml:space="preserve">: Category-defining differentiation with 2-3 year defensibility window</w:t>
      </w:r>
      <w:r>
        <w:t xml:space="preserve"> </w:t>
      </w:r>
      <w:r>
        <w:t xml:space="preserve">2.</w:t>
      </w:r>
      <w:r>
        <w:t xml:space="preserve"> </w:t>
      </w:r>
      <w:r>
        <w:rPr>
          <w:b/>
          <w:bCs/>
        </w:rPr>
        <w:t xml:space="preserve">Market Opportunity (78/100)</w:t>
      </w:r>
      <w:r>
        <w:t xml:space="preserve">: Large addressable market ($960M-$1.35B SAM) with acute customer pain ($500K-2M per project)</w:t>
      </w:r>
      <w:r>
        <w:t xml:space="preserve"> </w:t>
      </w:r>
      <w:r>
        <w:t xml:space="preserve">3.</w:t>
      </w:r>
      <w:r>
        <w:t xml:space="preserve"> </w:t>
      </w:r>
      <w:r>
        <w:rPr>
          <w:b/>
          <w:bCs/>
        </w:rPr>
        <w:t xml:space="preserve">Technical Feasibility (72/100)</w:t>
      </w:r>
      <w:r>
        <w:t xml:space="preserve">: Proven technologies with benchmark validation demonstrating performance feasibility</w:t>
      </w:r>
    </w:p>
    <w:p>
      <w:pPr>
        <w:pStyle w:val="BodyText"/>
      </w:pPr>
      <w:r>
        <w:rPr>
          <w:b/>
          <w:bCs/>
        </w:rPr>
        <w:t xml:space="preserve">Factors Limiting Score</w:t>
      </w:r>
      <w:r>
        <w:t xml:space="preserve">:</w:t>
      </w:r>
      <w:r>
        <w:t xml:space="preserve"> </w:t>
      </w:r>
      <w:r>
        <w:t xml:space="preserve">1.</w:t>
      </w:r>
      <w:r>
        <w:t xml:space="preserve"> </w:t>
      </w:r>
      <w:r>
        <w:rPr>
          <w:b/>
          <w:bCs/>
        </w:rPr>
        <w:t xml:space="preserve">Execution Readiness (68/100)</w:t>
      </w:r>
      <w:r>
        <w:t xml:space="preserve">: High dependency on SRS partnership (20% probability of strain, critical impact); aggressive 13-month timeline</w:t>
      </w:r>
      <w:r>
        <w:t xml:space="preserve"> </w:t>
      </w:r>
      <w:r>
        <w:t xml:space="preserve">2.</w:t>
      </w:r>
      <w:r>
        <w:t xml:space="preserve"> </w:t>
      </w:r>
      <w:r>
        <w:rPr>
          <w:b/>
          <w:bCs/>
        </w:rPr>
        <w:t xml:space="preserve">Regulatory Pathway (65/100)</w:t>
      </w:r>
      <w:r>
        <w:t xml:space="preserve">: Novel application of formal verification requires reviewer education; 3+ year timeline to full regulatory coverage</w:t>
      </w:r>
      <w:r>
        <w:t xml:space="preserve"> </w:t>
      </w:r>
      <w:r>
        <w:t xml:space="preserve">3.</w:t>
      </w:r>
      <w:r>
        <w:t xml:space="preserve"> </w:t>
      </w:r>
      <w:r>
        <w:rPr>
          <w:b/>
          <w:bCs/>
        </w:rPr>
        <w:t xml:space="preserve">Technical Risks</w:t>
      </w:r>
      <w:r>
        <w:t xml:space="preserve">: Verification performance overhead (30% probability, high impact) not validated until Phase 1 POC</w:t>
      </w:r>
    </w:p>
    <w:p>
      <w:pPr>
        <w:pStyle w:val="BodyText"/>
      </w:pPr>
      <w:r>
        <w:rPr>
          <w:b/>
          <w:bCs/>
        </w:rPr>
        <w:t xml:space="preserve">Confidence Level</w:t>
      </w:r>
      <w:r>
        <w:t xml:space="preserve">:</w:t>
      </w:r>
      <w:r>
        <w:t xml:space="preserve"> </w:t>
      </w:r>
      <w:r>
        <w:rPr>
          <w:b/>
          <w:bCs/>
        </w:rPr>
        <w:t xml:space="preserve">High with Conditional Validation</w:t>
      </w:r>
    </w:p>
    <w:p>
      <w:pPr>
        <w:pStyle w:val="BodyText"/>
      </w:pPr>
      <w:r>
        <w:t xml:space="preserve">The score of 73/100 reflects high confidence in the opportunity’s viability, contingent on successful Phase 1 pilot validation of technical performance (&lt;10ms overhead), user acceptance (&gt;80% satisfaction), and SRS partnership commitment (sustained resource allocation).</w:t>
      </w:r>
    </w:p>
    <w:p>
      <w:r>
        <w:pict>
          <v:rect style="width:0;height:1.5pt" o:hralign="center" o:hrstd="t" o:hr="t"/>
        </w:pict>
      </w:r>
    </w:p>
    <w:bookmarkEnd w:id="106"/>
    <w:bookmarkEnd w:id="107"/>
    <w:bookmarkStart w:id="116" w:name="strategic-recommendation-1"/>
    <w:p>
      <w:pPr>
        <w:pStyle w:val="Heading2"/>
      </w:pPr>
      <w:r>
        <w:rPr>
          <w:rStyle w:val="SectionNumber"/>
        </w:rPr>
        <w:t xml:space="preserve">1.12</w:t>
      </w:r>
      <w:r>
        <w:tab/>
      </w:r>
      <w:r>
        <w:t xml:space="preserve">Strategic Recommendation</w:t>
      </w:r>
    </w:p>
    <w:bookmarkStart w:id="108" w:name="overall-recommendation-conditional-go"/>
    <w:p>
      <w:pPr>
        <w:pStyle w:val="Heading3"/>
      </w:pPr>
      <w:r>
        <w:rPr>
          <w:rStyle w:val="SectionNumber"/>
        </w:rPr>
        <w:t xml:space="preserve">1.12.1</w:t>
      </w:r>
      <w:r>
        <w:tab/>
      </w:r>
      <w:r>
        <w:t xml:space="preserve">Overall Recommendation: CONDITIONAL GO</w:t>
      </w:r>
    </w:p>
    <w:p>
      <w:pPr>
        <w:pStyle w:val="FirstParagraph"/>
      </w:pPr>
      <w:r>
        <w:rPr>
          <w:b/>
          <w:bCs/>
        </w:rPr>
        <w:t xml:space="preserve">Proceed with Phase 1 Pilot</w:t>
      </w:r>
      <w:r>
        <w:t xml:space="preserve"> </w:t>
      </w:r>
      <w:r>
        <w:t xml:space="preserve">($155K, 4 months) to validate critical assumptions:</w:t>
      </w:r>
      <w:r>
        <w:t xml:space="preserve"> </w:t>
      </w:r>
      <w:r>
        <w:t xml:space="preserve">1.</w:t>
      </w:r>
      <w:r>
        <w:t xml:space="preserve"> </w:t>
      </w:r>
      <w:r>
        <w:rPr>
          <w:b/>
          <w:bCs/>
        </w:rPr>
        <w:t xml:space="preserve">Technical Feasibility</w:t>
      </w:r>
      <w:r>
        <w:t xml:space="preserve">: Verification performance &lt;10ms overhead; AI accuracy &gt;90%; zero breaking changes to existing SRS code</w:t>
      </w:r>
      <w:r>
        <w:t xml:space="preserve"> </w:t>
      </w:r>
      <w:r>
        <w:t xml:space="preserve">2.</w:t>
      </w:r>
      <w:r>
        <w:t xml:space="preserve"> </w:t>
      </w:r>
      <w:r>
        <w:rPr>
          <w:b/>
          <w:bCs/>
        </w:rPr>
        <w:t xml:space="preserve">User Acceptance</w:t>
      </w:r>
      <w:r>
        <w:t xml:space="preserve">: Beta tester satisfaction &gt;80% (4.0/5.0); 3+ documented cases where verification caught measurement errors that traditional methods would miss</w:t>
      </w:r>
      <w:r>
        <w:t xml:space="preserve"> </w:t>
      </w:r>
      <w:r>
        <w:t xml:space="preserve">3.</w:t>
      </w:r>
      <w:r>
        <w:t xml:space="preserve"> </w:t>
      </w:r>
      <w:r>
        <w:rPr>
          <w:b/>
          <w:bCs/>
        </w:rPr>
        <w:t xml:space="preserve">Partnership Viability</w:t>
      </w:r>
      <w:r>
        <w:t xml:space="preserve">: SRS sustained engineering allocation and beta site access throughout pilot</w:t>
      </w:r>
    </w:p>
    <w:p>
      <w:pPr>
        <w:pStyle w:val="BodyText"/>
      </w:pPr>
      <w:r>
        <w:rPr>
          <w:b/>
          <w:bCs/>
        </w:rPr>
        <w:t xml:space="preserve">Phase 1 Go/No-Go Decision Criteria</w:t>
      </w:r>
      <w:r>
        <w:t xml:space="preserve"> </w:t>
      </w:r>
      <w:r>
        <w:t xml:space="preserve">(Month 4):</w:t>
      </w:r>
      <w:r>
        <w:t xml:space="preserve"> </w:t>
      </w:r>
      <w:r>
        <w:t xml:space="preserve">-</w:t>
      </w:r>
      <w:r>
        <w:t xml:space="preserve"> </w:t>
      </w:r>
      <w:r>
        <w:rPr>
          <w:b/>
          <w:bCs/>
        </w:rPr>
        <w:t xml:space="preserve">GO to Phase 2/3</w:t>
      </w:r>
      <w:r>
        <w:t xml:space="preserve">: All minimum criteria met + 2+ strong indicators → Proceed with full product portfolio expansion ($605K, 9 months)</w:t>
      </w:r>
      <w:r>
        <w:t xml:space="preserve"> </w:t>
      </w:r>
      <w:r>
        <w:t xml:space="preserve">-</w:t>
      </w:r>
      <w:r>
        <w:t xml:space="preserve"> </w:t>
      </w:r>
      <w:r>
        <w:rPr>
          <w:b/>
          <w:bCs/>
        </w:rPr>
        <w:t xml:space="preserve">CONDITIONAL GO</w:t>
      </w:r>
      <w:r>
        <w:t xml:space="preserve">: Minimum criteria met + 0-1 strong indicators → Proceed with risk mitigation plan (extended timeline, reduced scope, or incremental expansion)</w:t>
      </w:r>
      <w:r>
        <w:t xml:space="preserve"> </w:t>
      </w:r>
      <w:r>
        <w:t xml:space="preserve">-</w:t>
      </w:r>
      <w:r>
        <w:t xml:space="preserve"> </w:t>
      </w:r>
      <w:r>
        <w:rPr>
          <w:b/>
          <w:bCs/>
        </w:rPr>
        <w:t xml:space="preserve">NO-GO</w:t>
      </w:r>
      <w:r>
        <w:t xml:space="preserve">: Any minimum criterion missed → Pivot pilot approach, adjust scope, or terminate</w:t>
      </w:r>
    </w:p>
    <w:p>
      <w:pPr>
        <w:pStyle w:val="BodyText"/>
      </w:pPr>
      <w:r>
        <w:rPr>
          <w:b/>
          <w:bCs/>
        </w:rPr>
        <w:t xml:space="preserve">If Phase 1 Successful</w:t>
      </w:r>
      <w:r>
        <w:t xml:space="preserve">, proceed to:</w:t>
      </w:r>
      <w:r>
        <w:t xml:space="preserve"> </w:t>
      </w:r>
      <w:r>
        <w:t xml:space="preserve">-</w:t>
      </w:r>
      <w:r>
        <w:t xml:space="preserve"> </w:t>
      </w:r>
      <w:r>
        <w:rPr>
          <w:b/>
          <w:bCs/>
        </w:rPr>
        <w:t xml:space="preserve">Phase 2</w:t>
      </w:r>
      <w:r>
        <w:t xml:space="preserve">: RGA and spectrum analyzers expansion ($187K, 3 months) → Validate scalability and achieve first commercial revenue ($90K-150K)</w:t>
      </w:r>
      <w:r>
        <w:t xml:space="preserve"> </w:t>
      </w:r>
      <w:r>
        <w:t xml:space="preserve">-</w:t>
      </w:r>
      <w:r>
        <w:t xml:space="preserve"> </w:t>
      </w:r>
      <w:r>
        <w:rPr>
          <w:b/>
          <w:bCs/>
        </w:rPr>
        <w:t xml:space="preserve">Phase 3</w:t>
      </w:r>
      <w:r>
        <w:t xml:space="preserve">: Full product portfolio (20-25 families, $520K, 6 months) → Comprehensive market coverage and enterprise offerings</w:t>
      </w:r>
    </w:p>
    <w:bookmarkEnd w:id="108"/>
    <w:bookmarkStart w:id="111" w:name="strategic-rationale-1"/>
    <w:p>
      <w:pPr>
        <w:pStyle w:val="Heading3"/>
      </w:pPr>
      <w:r>
        <w:rPr>
          <w:rStyle w:val="SectionNumber"/>
        </w:rPr>
        <w:t xml:space="preserve">1.12.2</w:t>
      </w:r>
      <w:r>
        <w:tab/>
      </w:r>
      <w:r>
        <w:t xml:space="preserve">Strategic Rationale</w:t>
      </w:r>
    </w:p>
    <w:bookmarkStart w:id="109" w:name="why-this-opportunity-is-compelling"/>
    <w:p>
      <w:pPr>
        <w:pStyle w:val="Heading4"/>
      </w:pPr>
      <w:r>
        <w:rPr>
          <w:rStyle w:val="SectionNumber"/>
        </w:rPr>
        <w:t xml:space="preserve">1.12.2.1</w:t>
      </w:r>
      <w:r>
        <w:tab/>
      </w:r>
      <w:r>
        <w:t xml:space="preserve">Why This Opportunity Is Compelling</w:t>
      </w:r>
    </w:p>
    <w:p>
      <w:pPr>
        <w:pStyle w:val="FirstParagraph"/>
      </w:pPr>
      <w:r>
        <w:rPr>
          <w:b/>
          <w:bCs/>
        </w:rPr>
        <w:t xml:space="preserve">1. Category-Defining Differentiation</w:t>
      </w:r>
    </w:p>
    <w:p>
      <w:pPr>
        <w:pStyle w:val="BodyText"/>
      </w:pPr>
      <w:r>
        <w:t xml:space="preserve">No competitor offers formal verification of scientific data analysis algorithms. This unique capability addresses a genuine market gap at the intersection of three powerful trends:</w:t>
      </w:r>
      <w:r>
        <w:t xml:space="preserve"> </w:t>
      </w:r>
      <w:r>
        <w:t xml:space="preserve">-</w:t>
      </w:r>
      <w:r>
        <w:t xml:space="preserve"> </w:t>
      </w:r>
      <w:r>
        <w:rPr>
          <w:b/>
          <w:bCs/>
        </w:rPr>
        <w:t xml:space="preserve">AI adoption</w:t>
      </w:r>
      <w:r>
        <w:t xml:space="preserve"> </w:t>
      </w:r>
      <w:r>
        <w:t xml:space="preserve">in scientific workflows (48% of new semiconductor testers, 30% lab efficiency gains)</w:t>
      </w:r>
      <w:r>
        <w:t xml:space="preserve"> </w:t>
      </w:r>
      <w:r>
        <w:t xml:space="preserve">-</w:t>
      </w:r>
      <w:r>
        <w:t xml:space="preserve"> </w:t>
      </w:r>
      <w:r>
        <w:rPr>
          <w:b/>
          <w:bCs/>
        </w:rPr>
        <w:t xml:space="preserve">Regulatory intensification</w:t>
      </w:r>
      <w:r>
        <w:t xml:space="preserve"> </w:t>
      </w:r>
      <w:r>
        <w:t xml:space="preserve">(FDA 56 warning letters 2023, DO-178C $1M-5M costs)</w:t>
      </w:r>
      <w:r>
        <w:t xml:space="preserve"> </w:t>
      </w:r>
      <w:r>
        <w:t xml:space="preserve">-</w:t>
      </w:r>
      <w:r>
        <w:t xml:space="preserve"> </w:t>
      </w:r>
      <w:r>
        <w:rPr>
          <w:b/>
          <w:bCs/>
        </w:rPr>
        <w:t xml:space="preserve">Explainability requirements</w:t>
      </w:r>
      <w:r>
        <w:t xml:space="preserve"> </w:t>
      </w:r>
      <w:r>
        <w:t xml:space="preserve">for AI in regulated industries (FDA, FAA mandates)</w:t>
      </w:r>
    </w:p>
    <w:p>
      <w:pPr>
        <w:pStyle w:val="BodyText"/>
      </w:pPr>
      <w:r>
        <w:t xml:space="preserve">The combination of AI-powered analysis with mathematical guarantees creates a defensible position that incumbents (LabVIEW, MATLAB) cannot easily replicate due to architectural constraints (desktop-centric), lack of expertise (formal verification talent scarcity), and organizational inertia (protect existing revenue streams).</w:t>
      </w:r>
    </w:p>
    <w:p>
      <w:pPr>
        <w:pStyle w:val="BodyText"/>
      </w:pPr>
      <w:r>
        <w:rPr>
          <w:b/>
          <w:bCs/>
        </w:rPr>
        <w:t xml:space="preserve">2. Large Market with Acute Pain</w:t>
      </w:r>
    </w:p>
    <w:p>
      <w:pPr>
        <w:pStyle w:val="BodyText"/>
      </w:pPr>
      <w:r>
        <w:t xml:space="preserve">The $960M-$1.35B serviceable addressable market in regulated industries (pharmaceutical, semiconductor, aerospace, academic) experiences severe, quantified pain:</w:t>
      </w:r>
      <w:r>
        <w:t xml:space="preserve"> </w:t>
      </w:r>
      <w:r>
        <w:t xml:space="preserve">-</w:t>
      </w:r>
      <w:r>
        <w:t xml:space="preserve"> </w:t>
      </w:r>
      <w:r>
        <w:rPr>
          <w:b/>
          <w:bCs/>
        </w:rPr>
        <w:t xml:space="preserve">$500K-2M</w:t>
      </w:r>
      <w:r>
        <w:t xml:space="preserve"> </w:t>
      </w:r>
      <w:r>
        <w:t xml:space="preserve">manual validation costs per system (6-12 month timelines)</w:t>
      </w:r>
      <w:r>
        <w:t xml:space="preserve"> </w:t>
      </w:r>
      <w:r>
        <w:t xml:space="preserve">-</w:t>
      </w:r>
      <w:r>
        <w:t xml:space="preserve"> </w:t>
      </w:r>
      <w:r>
        <w:rPr>
          <w:b/>
          <w:bCs/>
        </w:rPr>
        <w:t xml:space="preserve">$50-100M</w:t>
      </w:r>
      <w:r>
        <w:t xml:space="preserve"> </w:t>
      </w:r>
      <w:r>
        <w:t xml:space="preserve">pharmaceutical recalls due to analytical errors</w:t>
      </w:r>
      <w:r>
        <w:t xml:space="preserve"> </w:t>
      </w:r>
      <w:r>
        <w:t xml:space="preserve">-</w:t>
      </w:r>
      <w:r>
        <w:t xml:space="preserve"> </w:t>
      </w:r>
      <w:r>
        <w:rPr>
          <w:b/>
          <w:bCs/>
        </w:rPr>
        <w:t xml:space="preserve">$1-2B</w:t>
      </w:r>
      <w:r>
        <w:t xml:space="preserve"> </w:t>
      </w:r>
      <w:r>
        <w:t xml:space="preserve">semiconductor yield losses annually</w:t>
      </w:r>
      <w:r>
        <w:t xml:space="preserve"> </w:t>
      </w:r>
      <w:r>
        <w:t xml:space="preserve">-</w:t>
      </w:r>
      <w:r>
        <w:t xml:space="preserve"> </w:t>
      </w:r>
      <w:r>
        <w:rPr>
          <w:b/>
          <w:bCs/>
        </w:rPr>
        <w:t xml:space="preserve">20-40%</w:t>
      </w:r>
      <w:r>
        <w:t xml:space="preserve"> </w:t>
      </w:r>
      <w:r>
        <w:t xml:space="preserve">of project budgets consumed by compliance activities</w:t>
      </w:r>
    </w:p>
    <w:p>
      <w:pPr>
        <w:pStyle w:val="BodyText"/>
      </w:pPr>
      <w:r>
        <w:t xml:space="preserve">Customers demonstrate clear willingness to pay premium pricing for solutions reducing these costs, with 5-10x ROI justification. The verified analysis category is projected to grow 15-20% CAGR (2× broader market rate), indicating strong demand trajectory.</w:t>
      </w:r>
    </w:p>
    <w:p>
      <w:pPr>
        <w:pStyle w:val="BodyText"/>
      </w:pPr>
      <w:r>
        <w:rPr>
          <w:b/>
          <w:bCs/>
        </w:rPr>
        <w:t xml:space="preserve">3. Technical Feasibility Validated</w:t>
      </w:r>
    </w:p>
    <w:p>
      <w:pPr>
        <w:pStyle w:val="BodyText"/>
      </w:pPr>
      <w:r>
        <w:t xml:space="preserve">Benchmark results demonstrate core technical assumptions:</w:t>
      </w:r>
      <w:r>
        <w:t xml:space="preserve"> </w:t>
      </w:r>
      <w:r>
        <w:t xml:space="preserve">-</w:t>
      </w:r>
      <w:r>
        <w:t xml:space="preserve"> </w:t>
      </w:r>
      <w:r>
        <w:rPr>
          <w:b/>
          <w:bCs/>
        </w:rPr>
        <w:t xml:space="preserve">95% of verifications complete within 100ms</w:t>
      </w:r>
      <w:r>
        <w:t xml:space="preserve"> </w:t>
      </w:r>
      <w:r>
        <w:t xml:space="preserve">real-time requirement</w:t>
      </w:r>
      <w:r>
        <w:t xml:space="preserve"> </w:t>
      </w:r>
      <w:r>
        <w:t xml:space="preserve">-</w:t>
      </w:r>
      <w:r>
        <w:t xml:space="preserve"> </w:t>
      </w:r>
      <w:r>
        <w:rPr>
          <w:b/>
          <w:bCs/>
        </w:rPr>
        <w:t xml:space="preserve">Signal processing algorithms</w:t>
      </w:r>
      <w:r>
        <w:t xml:space="preserve"> </w:t>
      </w:r>
      <w:r>
        <w:t xml:space="preserve">(FFT, filtering, correlation, lock-in detection) verify in 40-180ms</w:t>
      </w:r>
      <w:r>
        <w:t xml:space="preserve"> </w:t>
      </w:r>
      <w:r>
        <w:t xml:space="preserve">-</w:t>
      </w:r>
      <w:r>
        <w:t xml:space="preserve"> </w:t>
      </w:r>
      <w:r>
        <w:rPr>
          <w:b/>
          <w:bCs/>
        </w:rPr>
        <w:t xml:space="preserve">Property-based verification</w:t>
      </w:r>
      <w:r>
        <w:t xml:space="preserve"> </w:t>
      </w:r>
      <w:r>
        <w:t xml:space="preserve">with statistical array abstraction scales 100× better than value-based approaches</w:t>
      </w:r>
      <w:r>
        <w:t xml:space="preserve"> </w:t>
      </w:r>
      <w:r>
        <w:t xml:space="preserve">-</w:t>
      </w:r>
      <w:r>
        <w:t xml:space="preserve"> </w:t>
      </w:r>
      <w:r>
        <w:rPr>
          <w:b/>
          <w:bCs/>
        </w:rPr>
        <w:t xml:space="preserve">Proven technology stack</w:t>
      </w:r>
      <w:r>
        <w:t xml:space="preserve">: Z3 SMT solver (Microsoft Research, production-ready), Python scientific stack (mature ecosystem), Qt framework (SRS compatibility)</w:t>
      </w:r>
    </w:p>
    <w:p>
      <w:pPr>
        <w:pStyle w:val="BodyText"/>
      </w:pPr>
      <w:r>
        <w:t xml:space="preserve">The hybrid edge-primary architecture balances performance (&lt;100ms local latency), privacy (data stays on-premises), and cost (17-60% TCO reduction versus pure cloud or standalone).</w:t>
      </w:r>
    </w:p>
    <w:p>
      <w:pPr>
        <w:pStyle w:val="BodyText"/>
      </w:pPr>
      <w:r>
        <w:rPr>
          <w:b/>
          <w:bCs/>
        </w:rPr>
        <w:t xml:space="preserve">4. Strong Financial Returns</w:t>
      </w:r>
    </w:p>
    <w:p>
      <w:pPr>
        <w:pStyle w:val="BodyText"/>
      </w:pPr>
      <w:r>
        <w:t xml:space="preserve">The opportunity demonstrates compelling unit economics:</w:t>
      </w:r>
      <w:r>
        <w:t xml:space="preserve"> </w:t>
      </w:r>
      <w:r>
        <w:t xml:space="preserve">-</w:t>
      </w:r>
      <w:r>
        <w:t xml:space="preserve"> </w:t>
      </w:r>
      <w:r>
        <w:rPr>
          <w:b/>
          <w:bCs/>
        </w:rPr>
        <w:t xml:space="preserve">LTV/CAC ratio</w:t>
      </w:r>
      <w:r>
        <w:t xml:space="preserve">: 4-7× (healthy SaaS benchmark: &gt;3×)</w:t>
      </w:r>
      <w:r>
        <w:t xml:space="preserve"> </w:t>
      </w:r>
      <w:r>
        <w:t xml:space="preserve">-</w:t>
      </w:r>
      <w:r>
        <w:t xml:space="preserve"> </w:t>
      </w:r>
      <w:r>
        <w:rPr>
          <w:b/>
          <w:bCs/>
        </w:rPr>
        <w:t xml:space="preserve">CAC payback</w:t>
      </w:r>
      <w:r>
        <w:t xml:space="preserve">: 6-12 months (industry benchmark: 12-18 months)</w:t>
      </w:r>
      <w:r>
        <w:t xml:space="preserve"> </w:t>
      </w:r>
      <w:r>
        <w:t xml:space="preserve">-</w:t>
      </w:r>
      <w:r>
        <w:t xml:space="preserve"> </w:t>
      </w:r>
      <w:r>
        <w:rPr>
          <w:b/>
          <w:bCs/>
        </w:rPr>
        <w:t xml:space="preserve">Gross margin</w:t>
      </w:r>
      <w:r>
        <w:t xml:space="preserve">: 85-90% (pure software with minimal COGS)</w:t>
      </w:r>
      <w:r>
        <w:t xml:space="preserve"> </w:t>
      </w:r>
      <w:r>
        <w:t xml:space="preserve">-</w:t>
      </w:r>
      <w:r>
        <w:t xml:space="preserve"> </w:t>
      </w:r>
      <w:r>
        <w:rPr>
          <w:b/>
          <w:bCs/>
        </w:rPr>
        <w:t xml:space="preserve">5-year ROI</w:t>
      </w:r>
      <w:r>
        <w:t xml:space="preserve">: 12.5× or 1,154% on $1.31M investment</w:t>
      </w:r>
      <w:r>
        <w:t xml:space="preserve"> </w:t>
      </w:r>
      <w:r>
        <w:t xml:space="preserve">-</w:t>
      </w:r>
      <w:r>
        <w:t xml:space="preserve"> </w:t>
      </w:r>
      <w:r>
        <w:rPr>
          <w:b/>
          <w:bCs/>
        </w:rPr>
        <w:t xml:space="preserve">Break-even</w:t>
      </w:r>
      <w:r>
        <w:t xml:space="preserve">: 18-20 months from Phase 1 start</w:t>
      </w:r>
    </w:p>
    <w:p>
      <w:pPr>
        <w:pStyle w:val="BodyText"/>
      </w:pPr>
      <w:r>
        <w:t xml:space="preserve">Even pessimistic scenario (50% lower market penetration) yields 3.6× ROI (259%), demonstrating robustness to market risks.</w:t>
      </w:r>
    </w:p>
    <w:p>
      <w:pPr>
        <w:pStyle w:val="BodyText"/>
      </w:pPr>
      <w:r>
        <w:rPr>
          <w:b/>
          <w:bCs/>
        </w:rPr>
        <w:t xml:space="preserve">5. Partnership Leverage</w:t>
      </w:r>
    </w:p>
    <w:p>
      <w:pPr>
        <w:pStyle w:val="BodyText"/>
      </w:pPr>
      <w:r>
        <w:t xml:space="preserve">SRS partnership provides critical advantages:</w:t>
      </w:r>
      <w:r>
        <w:t xml:space="preserve"> </w:t>
      </w:r>
      <w:r>
        <w:t xml:space="preserve">-</w:t>
      </w:r>
      <w:r>
        <w:t xml:space="preserve"> </w:t>
      </w:r>
      <w:r>
        <w:rPr>
          <w:b/>
          <w:bCs/>
        </w:rPr>
        <w:t xml:space="preserve">Beachhead market access</w:t>
      </w:r>
      <w:r>
        <w:t xml:space="preserve">: 500-1,000 regulated labs using SRS instruments</w:t>
      </w:r>
      <w:r>
        <w:t xml:space="preserve"> </w:t>
      </w:r>
      <w:r>
        <w:t xml:space="preserve">-</w:t>
      </w:r>
      <w:r>
        <w:t xml:space="preserve"> </w:t>
      </w:r>
      <w:r>
        <w:rPr>
          <w:b/>
          <w:bCs/>
        </w:rPr>
        <w:t xml:space="preserve">Domain expertise</w:t>
      </w:r>
      <w:r>
        <w:t xml:space="preserve">: SRS engineering provides algorithm specifications, reference datasets, customer use cases</w:t>
      </w:r>
      <w:r>
        <w:t xml:space="preserve"> </w:t>
      </w:r>
      <w:r>
        <w:t xml:space="preserve">-</w:t>
      </w:r>
      <w:r>
        <w:t xml:space="preserve"> </w:t>
      </w:r>
      <w:r>
        <w:rPr>
          <w:b/>
          <w:bCs/>
        </w:rPr>
        <w:t xml:space="preserve">Distribution channel</w:t>
      </w:r>
      <w:r>
        <w:t xml:space="preserve">: SRS sales force and customer relationships reduce CAC by ~50%</w:t>
      </w:r>
      <w:r>
        <w:t xml:space="preserve"> </w:t>
      </w:r>
      <w:r>
        <w:t xml:space="preserve">-</w:t>
      </w:r>
      <w:r>
        <w:t xml:space="preserve"> </w:t>
      </w:r>
      <w:r>
        <w:rPr>
          <w:b/>
          <w:bCs/>
        </w:rPr>
        <w:t xml:space="preserve">Credibility</w:t>
      </w:r>
      <w:r>
        <w:t xml:space="preserve">: SRS brand and reputation accelerate customer acquisition</w:t>
      </w:r>
      <w:r>
        <w:t xml:space="preserve"> </w:t>
      </w:r>
      <w:r>
        <w:t xml:space="preserve">-</w:t>
      </w:r>
      <w:r>
        <w:t xml:space="preserve"> </w:t>
      </w:r>
      <w:r>
        <w:rPr>
          <w:b/>
          <w:bCs/>
        </w:rPr>
        <w:t xml:space="preserve">White-label opportunity</w:t>
      </w:r>
      <w:r>
        <w:t xml:space="preserve">: Platform can be OEM bundled with SRS instruments</w:t>
      </w:r>
    </w:p>
    <w:p>
      <w:pPr>
        <w:pStyle w:val="BodyText"/>
      </w:pPr>
      <w:r>
        <w:t xml:space="preserve">The partnership de-risks customer acquisition (warm leads versus cold outreach) and accelerates time-to-market (leverage existing relationships versus building from scratch).</w:t>
      </w:r>
    </w:p>
    <w:bookmarkEnd w:id="109"/>
    <w:bookmarkStart w:id="110" w:name="why-conditional-validation-is-necessary"/>
    <w:p>
      <w:pPr>
        <w:pStyle w:val="Heading4"/>
      </w:pPr>
      <w:r>
        <w:rPr>
          <w:rStyle w:val="SectionNumber"/>
        </w:rPr>
        <w:t xml:space="preserve">1.12.2.2</w:t>
      </w:r>
      <w:r>
        <w:tab/>
      </w:r>
      <w:r>
        <w:t xml:space="preserve">Why Conditional Validation Is Necessary</w:t>
      </w:r>
    </w:p>
    <w:p>
      <w:pPr>
        <w:pStyle w:val="FirstParagraph"/>
      </w:pPr>
      <w:r>
        <w:t xml:space="preserve">Despite compelling opportunity characteristics, three critical uncertainties warrant Phase 1 validation before full-scale commitment:</w:t>
      </w:r>
    </w:p>
    <w:p>
      <w:pPr>
        <w:pStyle w:val="BodyText"/>
      </w:pPr>
      <w:r>
        <w:rPr>
          <w:b/>
          <w:bCs/>
        </w:rPr>
        <w:t xml:space="preserve">1. Verification Performance Risk (30% probability, high impact)</w:t>
      </w:r>
    </w:p>
    <w:p>
      <w:pPr>
        <w:pStyle w:val="BodyText"/>
      </w:pPr>
      <w:r>
        <w:t xml:space="preserve">While benchmarks demonstrate feasibility, real-world performance with complete SR860 integration on diverse customer workloads remains unvalidated. If verification overhead exceeds 10ms threshold, the value proposition deteriorates significantly (customers prioritize real-time performance for data acquisition).</w:t>
      </w:r>
    </w:p>
    <w:p>
      <w:pPr>
        <w:pStyle w:val="BodyText"/>
      </w:pPr>
      <w:r>
        <w:rPr>
          <w:b/>
          <w:bCs/>
        </w:rPr>
        <w:t xml:space="preserve">Phase 1 Validation</w:t>
      </w:r>
      <w:r>
        <w:t xml:space="preserve">: Week 3-4 POC demonstrates &lt;5ms overhead (50% margin); Month 4 beta testing confirms &lt;10ms in production environments across 3-5 customer sites.</w:t>
      </w:r>
    </w:p>
    <w:p>
      <w:pPr>
        <w:pStyle w:val="BodyText"/>
      </w:pPr>
      <w:r>
        <w:rPr>
          <w:b/>
          <w:bCs/>
        </w:rPr>
        <w:t xml:space="preserve">2. SRS Partnership Dependency (20% probability, critical impact)</w:t>
      </w:r>
    </w:p>
    <w:p>
      <w:pPr>
        <w:pStyle w:val="BodyText"/>
      </w:pPr>
      <w:r>
        <w:t xml:space="preserve">The business model relies heavily on SRS partnership for domain expertise (0.5-2.0 FTE throughout phases), customer access (beta sites, distribution), and credibility (co-branding). Partnership strain or dissolution would severely impact beachhead strategy.</w:t>
      </w:r>
    </w:p>
    <w:p>
      <w:pPr>
        <w:pStyle w:val="BodyText"/>
      </w:pPr>
      <w:r>
        <w:rPr>
          <w:b/>
          <w:bCs/>
        </w:rPr>
        <w:t xml:space="preserve">Phase 1 Validation</w:t>
      </w:r>
      <w:r>
        <w:t xml:space="preserve">: Month 1-4 demonstrates SRS sustained resource allocation at committed levels; stakeholder engagement remains strong through weekly technical reviews and monthly executive updates; beta site recruitment succeeds leveraging SRS customer relationships.</w:t>
      </w:r>
    </w:p>
    <w:p>
      <w:pPr>
        <w:pStyle w:val="BodyText"/>
      </w:pPr>
      <w:r>
        <w:rPr>
          <w:b/>
          <w:bCs/>
        </w:rPr>
        <w:t xml:space="preserve">3. User Acceptance of Novel Approach (medium uncertainty, high impact)</w:t>
      </w:r>
    </w:p>
    <w:p>
      <w:pPr>
        <w:pStyle w:val="BodyText"/>
      </w:pPr>
      <w:r>
        <w:t xml:space="preserve">Formal verification is unfamiliar to most scientific instrument users. While the value proposition is compelling on paper ($250K-2.5M savings), actual user adoption depends on seamless integration (no breaking changes), intuitive UX (natural language explanations), and demonstrable value (documented error detection).</w:t>
      </w:r>
    </w:p>
    <w:p>
      <w:pPr>
        <w:pStyle w:val="BodyText"/>
      </w:pPr>
      <w:r>
        <w:rPr>
          <w:b/>
          <w:bCs/>
        </w:rPr>
        <w:t xml:space="preserve">Phase 1 Validation</w:t>
      </w:r>
      <w:r>
        <w:t xml:space="preserve">: Month 4 beta testing achieves &gt;80% satisfaction (4.0/5.0); users report 3+ cases where verification caught measurement errors traditional methods would miss; &gt;60% find pricing acceptable and &gt;40% indicate purchase intent.</w:t>
      </w:r>
    </w:p>
    <w:bookmarkEnd w:id="110"/>
    <w:bookmarkEnd w:id="111"/>
    <w:bookmarkStart w:id="112" w:name="alternative-scenarios-considered"/>
    <w:p>
      <w:pPr>
        <w:pStyle w:val="Heading3"/>
      </w:pPr>
      <w:r>
        <w:rPr>
          <w:rStyle w:val="SectionNumber"/>
        </w:rPr>
        <w:t xml:space="preserve">1.12.3</w:t>
      </w:r>
      <w:r>
        <w:tab/>
      </w:r>
      <w:r>
        <w:t xml:space="preserve">Alternative Scenarios Considered</w:t>
      </w:r>
    </w:p>
    <w:p>
      <w:pPr>
        <w:pStyle w:val="FirstParagraph"/>
      </w:pPr>
      <w:r>
        <w:rPr>
          <w:b/>
          <w:bCs/>
        </w:rPr>
        <w:t xml:space="preserve">Alternative 1: Proceed Directly to Phase 3 (Full Portfolio) - NOT RECOMMENDED</w:t>
      </w:r>
    </w:p>
    <w:p>
      <w:pPr>
        <w:pStyle w:val="BodyText"/>
      </w:pPr>
      <w:r>
        <w:rPr>
          <w:b/>
          <w:bCs/>
        </w:rPr>
        <w:t xml:space="preserve">Rationale for rejection</w:t>
      </w:r>
      <w:r>
        <w:t xml:space="preserve">: Committing $755K to full product portfolio without validation increases risk unnecessarily. If critical assumptions (verification performance, user acceptance, SRS partnership) prove incorrect, the entire investment is at risk. Phased approach with validation gates reduces downside while preserving upside.</w:t>
      </w:r>
    </w:p>
    <w:p>
      <w:pPr>
        <w:pStyle w:val="BodyText"/>
      </w:pPr>
      <w:r>
        <w:rPr>
          <w:b/>
          <w:bCs/>
        </w:rPr>
        <w:t xml:space="preserve">Alternative 2: Delay Until Regulatory Certifications Complete - NOT RECOMMENDED</w:t>
      </w:r>
    </w:p>
    <w:p>
      <w:pPr>
        <w:pStyle w:val="BodyText"/>
      </w:pPr>
      <w:r>
        <w:rPr>
          <w:b/>
          <w:bCs/>
        </w:rPr>
        <w:t xml:space="preserve">Rationale for rejection</w:t>
      </w:r>
      <w:r>
        <w:t xml:space="preserve">: Waiting for FDA 510(k) and ISO 13485 (Phase 2, 24-36 months) before market entry sacrifices first-mover advantage and allows competitive response. Phase 1 markets (ISO 17025 support, FDA 21 CFR Part 11 compliance) are substantial ($14M addressable) and don’t require medical device certification. Regulatory pathway can proceed in parallel with commercial launch.</w:t>
      </w:r>
    </w:p>
    <w:p>
      <w:pPr>
        <w:pStyle w:val="BodyText"/>
      </w:pPr>
      <w:r>
        <w:rPr>
          <w:b/>
          <w:bCs/>
        </w:rPr>
        <w:t xml:space="preserve">Alternative 3: Target Different Instrument Manufacturer (Not SRS) - NOT RECOMMENDED</w:t>
      </w:r>
    </w:p>
    <w:p>
      <w:pPr>
        <w:pStyle w:val="BodyText"/>
      </w:pPr>
      <w:r>
        <w:rPr>
          <w:b/>
          <w:bCs/>
        </w:rPr>
        <w:t xml:space="preserve">Rationale for rejection</w:t>
      </w:r>
      <w:r>
        <w:t xml:space="preserve">: SRS partnership provides unique advantages (Python framework compatibility, domain expertise access, customer relationships). Starting with different manufacturer requires building these capabilities from scratch, increasing time-to-market and customer acquisition cost. SRS beachhead validates model before broader expansion.</w:t>
      </w:r>
    </w:p>
    <w:p>
      <w:pPr>
        <w:pStyle w:val="BodyText"/>
      </w:pPr>
      <w:r>
        <w:rPr>
          <w:b/>
          <w:bCs/>
        </w:rPr>
        <w:t xml:space="preserve">Alternative 4: Focus on Single Customer Segment (e.g., Pharmaceutical Only) - CONSIDERED BUT NOT RECOMMENDED</w:t>
      </w:r>
    </w:p>
    <w:p>
      <w:pPr>
        <w:pStyle w:val="BodyText"/>
      </w:pPr>
      <w:r>
        <w:rPr>
          <w:b/>
          <w:bCs/>
        </w:rPr>
        <w:t xml:space="preserve">Rationale for consideration</w:t>
      </w:r>
      <w:r>
        <w:t xml:space="preserve">: Narrower focus could accelerate regulatory pathway (FDA 21 CFR Part 11 only) and simplify product requirements.</w:t>
      </w:r>
    </w:p>
    <w:p>
      <w:pPr>
        <w:pStyle w:val="BodyText"/>
      </w:pPr>
      <w:r>
        <w:rPr>
          <w:b/>
          <w:bCs/>
        </w:rPr>
        <w:t xml:space="preserve">Rationale for rejection</w:t>
      </w:r>
      <w:r>
        <w:t xml:space="preserve">: Platform approach across SRS product portfolio (20-25 families) achieves economies of scale (&gt;70% code reuse) and positions for white-label OEM bundling. Multiple customer segments (pharmaceutical, semiconductor, aerospace, academic) reduces concentration risk and increases addressable market. Single-segment focus sacrifices strategic flexibility.</w:t>
      </w:r>
    </w:p>
    <w:bookmarkEnd w:id="112"/>
    <w:bookmarkStart w:id="113" w:name="recommended-path-forward"/>
    <w:p>
      <w:pPr>
        <w:pStyle w:val="Heading3"/>
      </w:pPr>
      <w:r>
        <w:rPr>
          <w:rStyle w:val="SectionNumber"/>
        </w:rPr>
        <w:t xml:space="preserve">1.12.4</w:t>
      </w:r>
      <w:r>
        <w:tab/>
      </w:r>
      <w:r>
        <w:t xml:space="preserve">Recommended Path Forward</w:t>
      </w:r>
    </w:p>
    <w:p>
      <w:pPr>
        <w:pStyle w:val="FirstParagraph"/>
      </w:pPr>
      <w:r>
        <w:rPr>
          <w:b/>
          <w:bCs/>
        </w:rPr>
        <w:t xml:space="preserve">Immediate Actions (Next 30 Days)</w:t>
      </w:r>
      <w:r>
        <w:t xml:space="preserve">:</w:t>
      </w:r>
    </w:p>
    <w:p>
      <w:pPr>
        <w:pStyle w:val="Compact"/>
        <w:numPr>
          <w:ilvl w:val="0"/>
          <w:numId w:val="1016"/>
        </w:numPr>
      </w:pPr>
      <w:r>
        <w:rPr>
          <w:b/>
          <w:bCs/>
        </w:rPr>
        <w:t xml:space="preserve">Secure SRS Partnership Commitment</w:t>
      </w:r>
    </w:p>
    <w:p>
      <w:pPr>
        <w:pStyle w:val="Compact"/>
        <w:numPr>
          <w:ilvl w:val="1"/>
          <w:numId w:val="1017"/>
        </w:numPr>
      </w:pPr>
      <w:r>
        <w:t xml:space="preserve">Executive sponsorship from SRS VP Engineering and Product Management</w:t>
      </w:r>
    </w:p>
    <w:p>
      <w:pPr>
        <w:pStyle w:val="Compact"/>
        <w:numPr>
          <w:ilvl w:val="1"/>
          <w:numId w:val="1017"/>
        </w:numPr>
      </w:pPr>
      <w:r>
        <w:t xml:space="preserve">Documented resource allocation commitment (0.5 FTE Phase 1, scaling to 2.0 FTE Phase 3)</w:t>
      </w:r>
    </w:p>
    <w:p>
      <w:pPr>
        <w:pStyle w:val="Compact"/>
        <w:numPr>
          <w:ilvl w:val="1"/>
          <w:numId w:val="1017"/>
        </w:numPr>
      </w:pPr>
      <w:r>
        <w:t xml:space="preserve">Beta site recruitment support (access to customer relationships)</w:t>
      </w:r>
    </w:p>
    <w:p>
      <w:pPr>
        <w:pStyle w:val="Compact"/>
        <w:numPr>
          <w:ilvl w:val="1"/>
          <w:numId w:val="1017"/>
        </w:numPr>
      </w:pPr>
      <w:r>
        <w:t xml:space="preserve">Partnership agreement defining revenue share, IP ownership, exclusivity terms</w:t>
      </w:r>
    </w:p>
    <w:p>
      <w:pPr>
        <w:pStyle w:val="Compact"/>
        <w:numPr>
          <w:ilvl w:val="0"/>
          <w:numId w:val="1016"/>
        </w:numPr>
      </w:pPr>
      <w:r>
        <w:rPr>
          <w:b/>
          <w:bCs/>
        </w:rPr>
        <w:t xml:space="preserve">Hupyy Internal Alignment</w:t>
      </w:r>
    </w:p>
    <w:p>
      <w:pPr>
        <w:pStyle w:val="Compact"/>
        <w:numPr>
          <w:ilvl w:val="1"/>
          <w:numId w:val="1018"/>
        </w:numPr>
      </w:pPr>
      <w:r>
        <w:t xml:space="preserve">Engineering team allocation (2 FTE Phase 1, scaling to 3 FTE Phase 3)</w:t>
      </w:r>
    </w:p>
    <w:p>
      <w:pPr>
        <w:pStyle w:val="Compact"/>
        <w:numPr>
          <w:ilvl w:val="1"/>
          <w:numId w:val="1018"/>
        </w:numPr>
      </w:pPr>
      <w:r>
        <w:t xml:space="preserve">Budget approval ($155K Phase 1; $867K total contingent on Phase 1 success)</w:t>
      </w:r>
    </w:p>
    <w:p>
      <w:pPr>
        <w:pStyle w:val="Compact"/>
        <w:numPr>
          <w:ilvl w:val="1"/>
          <w:numId w:val="1018"/>
        </w:numPr>
      </w:pPr>
      <w:r>
        <w:t xml:space="preserve">Decision authority (go/no-go criteria, escalation paths)</w:t>
      </w:r>
    </w:p>
    <w:p>
      <w:pPr>
        <w:pStyle w:val="Compact"/>
        <w:numPr>
          <w:ilvl w:val="1"/>
          <w:numId w:val="1018"/>
        </w:numPr>
      </w:pPr>
      <w:r>
        <w:t xml:space="preserve">Funding strategy (bootstrap with SRS co-investment versus external seed funding)</w:t>
      </w:r>
    </w:p>
    <w:p>
      <w:pPr>
        <w:pStyle w:val="Compact"/>
        <w:numPr>
          <w:ilvl w:val="0"/>
          <w:numId w:val="1016"/>
        </w:numPr>
      </w:pPr>
      <w:r>
        <w:rPr>
          <w:b/>
          <w:bCs/>
        </w:rPr>
        <w:t xml:space="preserve">Phase 1 Preparation</w:t>
      </w:r>
    </w:p>
    <w:p>
      <w:pPr>
        <w:pStyle w:val="Compact"/>
        <w:numPr>
          <w:ilvl w:val="1"/>
          <w:numId w:val="1019"/>
        </w:numPr>
      </w:pPr>
      <w:r>
        <w:t xml:space="preserve">Recruit 3-5 beta test sites (pharmaceutical, academic, semiconductor mix)</w:t>
      </w:r>
    </w:p>
    <w:p>
      <w:pPr>
        <w:pStyle w:val="Compact"/>
        <w:numPr>
          <w:ilvl w:val="1"/>
          <w:numId w:val="1019"/>
        </w:numPr>
      </w:pPr>
      <w:r>
        <w:t xml:space="preserve">Secure SRS SR860 reference datasets for AI model training</w:t>
      </w:r>
    </w:p>
    <w:p>
      <w:pPr>
        <w:pStyle w:val="Compact"/>
        <w:numPr>
          <w:ilvl w:val="1"/>
          <w:numId w:val="1019"/>
        </w:numPr>
      </w:pPr>
      <w:r>
        <w:t xml:space="preserve">Establish development infrastructure (cloud compute, collaboration tools, issue tracking)</w:t>
      </w:r>
    </w:p>
    <w:p>
      <w:pPr>
        <w:pStyle w:val="Compact"/>
        <w:numPr>
          <w:ilvl w:val="1"/>
          <w:numId w:val="1019"/>
        </w:numPr>
      </w:pPr>
      <w:r>
        <w:t xml:space="preserve">Define detailed Phase 1 project plan (weekly milestones, acceptance criteria, risk monitoring)</w:t>
      </w:r>
    </w:p>
    <w:p>
      <w:pPr>
        <w:pStyle w:val="FirstParagraph"/>
      </w:pPr>
      <w:r>
        <w:rPr>
          <w:b/>
          <w:bCs/>
        </w:rPr>
        <w:t xml:space="preserve">Phase 1 Execution (Months 1-4, $155K)</w:t>
      </w:r>
      <w:r>
        <w:t xml:space="preserve">:</w:t>
      </w:r>
    </w:p>
    <w:p>
      <w:pPr>
        <w:pStyle w:val="BodyText"/>
      </w:pPr>
      <w:r>
        <w:t xml:space="preserve">Follow detailed roadmap in Implementation section with focus on:</w:t>
      </w:r>
      <w:r>
        <w:t xml:space="preserve"> </w:t>
      </w:r>
      <w:r>
        <w:t xml:space="preserve">-</w:t>
      </w:r>
      <w:r>
        <w:t xml:space="preserve"> </w:t>
      </w:r>
      <w:r>
        <w:rPr>
          <w:b/>
          <w:bCs/>
        </w:rPr>
        <w:t xml:space="preserve">Week 3-4</w:t>
      </w:r>
      <w:r>
        <w:t xml:space="preserve">: Architecture POC validating verification performance &lt;5ms overhead</w:t>
      </w:r>
      <w:r>
        <w:t xml:space="preserve"> </w:t>
      </w:r>
      <w:r>
        <w:t xml:space="preserve">-</w:t>
      </w:r>
      <w:r>
        <w:t xml:space="preserve"> </w:t>
      </w:r>
      <w:r>
        <w:rPr>
          <w:b/>
          <w:bCs/>
        </w:rPr>
        <w:t xml:space="preserve">Month 2</w:t>
      </w:r>
      <w:r>
        <w:t xml:space="preserve">: Core technology demo to SRS stakeholders (internal alignment confirmation)</w:t>
      </w:r>
      <w:r>
        <w:t xml:space="preserve"> </w:t>
      </w:r>
      <w:r>
        <w:t xml:space="preserve">-</w:t>
      </w:r>
      <w:r>
        <w:t xml:space="preserve"> </w:t>
      </w:r>
      <w:r>
        <w:rPr>
          <w:b/>
          <w:bCs/>
        </w:rPr>
        <w:t xml:space="preserve">Month 3</w:t>
      </w:r>
      <w:r>
        <w:t xml:space="preserve">: Beta release readiness (commercial-quality software, documentation, training)</w:t>
      </w:r>
      <w:r>
        <w:t xml:space="preserve"> </w:t>
      </w:r>
      <w:r>
        <w:t xml:space="preserve">-</w:t>
      </w:r>
      <w:r>
        <w:t xml:space="preserve"> </w:t>
      </w:r>
      <w:r>
        <w:rPr>
          <w:b/>
          <w:bCs/>
        </w:rPr>
        <w:t xml:space="preserve">Month 4</w:t>
      </w:r>
      <w:r>
        <w:t xml:space="preserve">: Beta testing and go/no-go decision (user validation, success criteria evaluation)</w:t>
      </w:r>
    </w:p>
    <w:p>
      <w:pPr>
        <w:pStyle w:val="BodyText"/>
      </w:pPr>
      <w:r>
        <w:rPr>
          <w:b/>
          <w:bCs/>
        </w:rPr>
        <w:t xml:space="preserve">Phase 1 Decision Gate (Month 4)</w:t>
      </w:r>
      <w:r>
        <w:t xml:space="preserve">:</w:t>
      </w:r>
    </w:p>
    <w:p>
      <w:pPr>
        <w:pStyle w:val="BodyText"/>
      </w:pPr>
      <w:r>
        <w:t xml:space="preserve">Comprehensive evaluation against success criteria:</w:t>
      </w:r>
      <w:r>
        <w:t xml:space="preserve"> </w:t>
      </w:r>
      <w:r>
        <w:t xml:space="preserve">-</w:t>
      </w:r>
      <w:r>
        <w:t xml:space="preserve"> </w:t>
      </w:r>
      <w:r>
        <w:rPr>
          <w:b/>
          <w:bCs/>
        </w:rPr>
        <w:t xml:space="preserve">Technical</w:t>
      </w:r>
      <w:r>
        <w:t xml:space="preserve">: Verification overhead, AI accuracy, integration quality, backward compatibility</w:t>
      </w:r>
      <w:r>
        <w:t xml:space="preserve"> </w:t>
      </w:r>
      <w:r>
        <w:t xml:space="preserve">-</w:t>
      </w:r>
      <w:r>
        <w:t xml:space="preserve"> </w:t>
      </w:r>
      <w:r>
        <w:rPr>
          <w:b/>
          <w:bCs/>
        </w:rPr>
        <w:t xml:space="preserve">User</w:t>
      </w:r>
      <w:r>
        <w:t xml:space="preserve">: Satisfaction scores, documented value (error detection cases), pricing acceptance, purchase intent</w:t>
      </w:r>
      <w:r>
        <w:t xml:space="preserve"> </w:t>
      </w:r>
      <w:r>
        <w:t xml:space="preserve">-</w:t>
      </w:r>
      <w:r>
        <w:t xml:space="preserve"> </w:t>
      </w:r>
      <w:r>
        <w:rPr>
          <w:b/>
          <w:bCs/>
        </w:rPr>
        <w:t xml:space="preserve">Commercial</w:t>
      </w:r>
      <w:r>
        <w:t xml:space="preserve">: Revenue potential, competitive positioning, partnership health</w:t>
      </w:r>
      <w:r>
        <w:t xml:space="preserve"> </w:t>
      </w:r>
      <w:r>
        <w:t xml:space="preserve">-</w:t>
      </w:r>
      <w:r>
        <w:t xml:space="preserve"> </w:t>
      </w:r>
      <w:r>
        <w:rPr>
          <w:b/>
          <w:bCs/>
        </w:rPr>
        <w:t xml:space="preserve">Strategic</w:t>
      </w:r>
      <w:r>
        <w:t xml:space="preserve">: Alignment with Hupyy capabilities, market timing, expansion feasibility</w:t>
      </w:r>
    </w:p>
    <w:p>
      <w:pPr>
        <w:pStyle w:val="BodyText"/>
      </w:pPr>
      <w:r>
        <w:rPr>
          <w:b/>
          <w:bCs/>
        </w:rPr>
        <w:t xml:space="preserve">If GO Decision</w:t>
      </w:r>
      <w:r>
        <w:t xml:space="preserve">: Proceed to Phase 2/3 ($605K, 9 months) with confidence based on validated assumptions</w:t>
      </w:r>
    </w:p>
    <w:p>
      <w:pPr>
        <w:pStyle w:val="BodyText"/>
      </w:pPr>
      <w:r>
        <w:rPr>
          <w:b/>
          <w:bCs/>
        </w:rPr>
        <w:t xml:space="preserve">If CONDITIONAL GO</w:t>
      </w:r>
      <w:r>
        <w:t xml:space="preserve">: Adjust plan (extended timeline, reduced scope, incremental expansion, risk mitigation) based on specific gaps identified</w:t>
      </w:r>
    </w:p>
    <w:p>
      <w:pPr>
        <w:pStyle w:val="BodyText"/>
      </w:pPr>
      <w:r>
        <w:rPr>
          <w:b/>
          <w:bCs/>
        </w:rPr>
        <w:t xml:space="preserve">If NO-GO</w:t>
      </w:r>
      <w:r>
        <w:t xml:space="preserve">: Pivot approach (different instrument focus, simplified scope, AI-only without verification) or terminate with minimal sunk cost ($155K learning investment)</w:t>
      </w:r>
    </w:p>
    <w:bookmarkEnd w:id="113"/>
    <w:bookmarkStart w:id="114" w:name="success-metrics-and-tracking"/>
    <w:p>
      <w:pPr>
        <w:pStyle w:val="Heading3"/>
      </w:pPr>
      <w:r>
        <w:rPr>
          <w:rStyle w:val="SectionNumber"/>
        </w:rPr>
        <w:t xml:space="preserve">1.12.5</w:t>
      </w:r>
      <w:r>
        <w:tab/>
      </w:r>
      <w:r>
        <w:t xml:space="preserve">Success Metrics and Tracking</w:t>
      </w:r>
    </w:p>
    <w:p>
      <w:pPr>
        <w:pStyle w:val="FirstParagraph"/>
      </w:pPr>
      <w:r>
        <w:rPr>
          <w:b/>
          <w:bCs/>
        </w:rPr>
        <w:t xml:space="preserve">Phase 1 Success Dashboard</w:t>
      </w:r>
      <w:r>
        <w:t xml:space="preserve"> </w:t>
      </w:r>
      <w:r>
        <w:t xml:space="preserve">(reviewed weekly):</w:t>
      </w:r>
    </w:p>
    <w:p>
      <w:pPr>
        <w:pStyle w:val="BodyText"/>
      </w:pPr>
      <w:r>
        <w:rPr>
          <w:b/>
          <w:bCs/>
        </w:rPr>
        <w:t xml:space="preserve">Technical Metrics</w:t>
      </w:r>
      <w:r>
        <w:t xml:space="preserve">:</w:t>
      </w:r>
      <w:r>
        <w:t xml:space="preserve"> </w:t>
      </w:r>
      <w:r>
        <w:t xml:space="preserve">- Verification overhead: &lt;10ms (target &lt;5ms) for 95% of operations</w:t>
      </w:r>
      <w:r>
        <w:t xml:space="preserve"> </w:t>
      </w:r>
      <w:r>
        <w:t xml:space="preserve">- AI accuracy: &gt;90% on test dataset (target &gt;95%)</w:t>
      </w:r>
      <w:r>
        <w:t xml:space="preserve"> </w:t>
      </w:r>
      <w:r>
        <w:t xml:space="preserve">- False positive rate: &lt;0.1%</w:t>
      </w:r>
      <w:r>
        <w:t xml:space="preserve"> </w:t>
      </w:r>
      <w:r>
        <w:t xml:space="preserve">- Integration test pass rate: 100%</w:t>
      </w:r>
    </w:p>
    <w:p>
      <w:pPr>
        <w:pStyle w:val="BodyText"/>
      </w:pPr>
      <w:r>
        <w:rPr>
          <w:b/>
          <w:bCs/>
        </w:rPr>
        <w:t xml:space="preserve">User Metrics</w:t>
      </w:r>
      <w:r>
        <w:t xml:space="preserve">:</w:t>
      </w:r>
      <w:r>
        <w:t xml:space="preserve"> </w:t>
      </w:r>
      <w:r>
        <w:t xml:space="preserve">- Beta tester activation: &gt;80% actively using software</w:t>
      </w:r>
      <w:r>
        <w:t xml:space="preserve"> </w:t>
      </w:r>
      <w:r>
        <w:t xml:space="preserve">- Satisfaction score: &gt;4.0/5.0 (target &gt;4.5/5.0)</w:t>
      </w:r>
      <w:r>
        <w:t xml:space="preserve"> </w:t>
      </w:r>
      <w:r>
        <w:t xml:space="preserve">- Net Promoter Score: &gt;30 (target &gt;50)</w:t>
      </w:r>
      <w:r>
        <w:t xml:space="preserve"> </w:t>
      </w:r>
      <w:r>
        <w:t xml:space="preserve">- Support tickets: &lt;5 per beta user</w:t>
      </w:r>
    </w:p>
    <w:p>
      <w:pPr>
        <w:pStyle w:val="BodyText"/>
      </w:pPr>
      <w:r>
        <w:rPr>
          <w:b/>
          <w:bCs/>
        </w:rPr>
        <w:t xml:space="preserve">Value Demonstration</w:t>
      </w:r>
      <w:r>
        <w:t xml:space="preserve">:</w:t>
      </w:r>
      <w:r>
        <w:t xml:space="preserve"> </w:t>
      </w:r>
      <w:r>
        <w:t xml:space="preserve">- Documented error cases: &gt;3 (target &gt;5) where verification caught real measurement errors</w:t>
      </w:r>
      <w:r>
        <w:t xml:space="preserve"> </w:t>
      </w:r>
      <w:r>
        <w:t xml:space="preserve">- Time savings: &gt;20% reduction in data validation time (user-reported)</w:t>
      </w:r>
      <w:r>
        <w:t xml:space="preserve"> </w:t>
      </w:r>
      <w:r>
        <w:t xml:space="preserve">- Confidence improvement: &gt;30% of users report increased confidence in results</w:t>
      </w:r>
    </w:p>
    <w:p>
      <w:pPr>
        <w:pStyle w:val="BodyText"/>
      </w:pPr>
      <w:r>
        <w:rPr>
          <w:b/>
          <w:bCs/>
        </w:rPr>
        <w:t xml:space="preserve">Commercial Indicators</w:t>
      </w:r>
      <w:r>
        <w:t xml:space="preserve">:</w:t>
      </w:r>
      <w:r>
        <w:t xml:space="preserve"> </w:t>
      </w:r>
      <w:r>
        <w:t xml:space="preserve">- Pricing acceptance: &gt;60% find proposed pricing acceptable</w:t>
      </w:r>
      <w:r>
        <w:t xml:space="preserve"> </w:t>
      </w:r>
      <w:r>
        <w:t xml:space="preserve">- Purchase intent: &gt;40% likelihood to purchase</w:t>
      </w:r>
      <w:r>
        <w:t xml:space="preserve"> </w:t>
      </w:r>
      <w:r>
        <w:t xml:space="preserve">- Feature completeness: &gt;70% of requested features implemented or roadmapped</w:t>
      </w:r>
    </w:p>
    <w:p>
      <w:pPr>
        <w:pStyle w:val="BodyText"/>
      </w:pPr>
      <w:r>
        <w:rPr>
          <w:b/>
          <w:bCs/>
        </w:rPr>
        <w:t xml:space="preserve">Partnership Health</w:t>
      </w:r>
      <w:r>
        <w:t xml:space="preserve">:</w:t>
      </w:r>
      <w:r>
        <w:t xml:space="preserve"> </w:t>
      </w:r>
      <w:r>
        <w:t xml:space="preserve">- SRS resource allocation: On track with committed levels (0.5 FTE average Phase 1)</w:t>
      </w:r>
      <w:r>
        <w:t xml:space="preserve"> </w:t>
      </w:r>
      <w:r>
        <w:t xml:space="preserve">- Stakeholder engagement: Weekly technical reviews attended; monthly executive updates positive</w:t>
      </w:r>
      <w:r>
        <w:t xml:space="preserve"> </w:t>
      </w:r>
      <w:r>
        <w:t xml:space="preserve">- Beta site recruitment: 3-5 sites secured through SRS customer relationships</w:t>
      </w:r>
    </w:p>
    <w:bookmarkEnd w:id="114"/>
    <w:bookmarkStart w:id="115" w:name="long-term-vision"/>
    <w:p>
      <w:pPr>
        <w:pStyle w:val="Heading3"/>
      </w:pPr>
      <w:r>
        <w:rPr>
          <w:rStyle w:val="SectionNumber"/>
        </w:rPr>
        <w:t xml:space="preserve">1.12.6</w:t>
      </w:r>
      <w:r>
        <w:tab/>
      </w:r>
      <w:r>
        <w:t xml:space="preserve">Long-Term Vision</w:t>
      </w:r>
    </w:p>
    <w:p>
      <w:pPr>
        <w:pStyle w:val="FirstParagraph"/>
      </w:pPr>
      <w:r>
        <w:rPr>
          <w:b/>
          <w:bCs/>
        </w:rPr>
        <w:t xml:space="preserve">Year 1-2</w:t>
      </w:r>
      <w:r>
        <w:t xml:space="preserve">: Category leadership in AI-verified scientific instrument analysis</w:t>
      </w:r>
      <w:r>
        <w:t xml:space="preserve"> </w:t>
      </w:r>
      <w:r>
        <w:t xml:space="preserve">- 30-50 customers across pharmaceutical, semiconductor, aerospace, academic segments</w:t>
      </w:r>
      <w:r>
        <w:t xml:space="preserve"> </w:t>
      </w:r>
      <w:r>
        <w:t xml:space="preserve">- $1.2M-2.0M ARR with 85-90% gross margins</w:t>
      </w:r>
      <w:r>
        <w:t xml:space="preserve"> </w:t>
      </w:r>
      <w:r>
        <w:t xml:space="preserve">- SRS exclusive partnership for all 20-25 product families</w:t>
      </w:r>
    </w:p>
    <w:p>
      <w:pPr>
        <w:pStyle w:val="BodyText"/>
      </w:pPr>
      <w:r>
        <w:rPr>
          <w:b/>
          <w:bCs/>
        </w:rPr>
        <w:t xml:space="preserve">Year 3-5</w:t>
      </w:r>
      <w:r>
        <w:t xml:space="preserve">: Market expansion and platform evolution</w:t>
      </w:r>
      <w:r>
        <w:t xml:space="preserve"> </w:t>
      </w:r>
      <w:r>
        <w:t xml:space="preserve">- 100-200 customers with international expansion (Europe, Asia-Pacific)</w:t>
      </w:r>
      <w:r>
        <w:t xml:space="preserve"> </w:t>
      </w:r>
      <w:r>
        <w:t xml:space="preserve">- $5M-8M ARR with improving unit economics (LTV/CAC 5-10×)</w:t>
      </w:r>
      <w:r>
        <w:t xml:space="preserve"> </w:t>
      </w:r>
      <w:r>
        <w:t xml:space="preserve">- Expansion to complementary instrument manufacturers (Keysight, Tektronix, Agilent)</w:t>
      </w:r>
      <w:r>
        <w:t xml:space="preserve"> </w:t>
      </w:r>
      <w:r>
        <w:t xml:space="preserve">- Regulatory certifications (FDA 510(k), ISO 13485) unlocking medical device markets</w:t>
      </w:r>
    </w:p>
    <w:p>
      <w:pPr>
        <w:pStyle w:val="BodyText"/>
      </w:pPr>
      <w:r>
        <w:rPr>
          <w:b/>
          <w:bCs/>
        </w:rPr>
        <w:t xml:space="preserve">Year 5+</w:t>
      </w:r>
      <w:r>
        <w:t xml:space="preserve">: Industry standard and ecosystem platform</w:t>
      </w:r>
      <w:r>
        <w:t xml:space="preserve"> </w:t>
      </w:r>
      <w:r>
        <w:t xml:space="preserve">- 15-30% category market share (verified scientific analysis)</w:t>
      </w:r>
      <w:r>
        <w:t xml:space="preserve"> </w:t>
      </w:r>
      <w:r>
        <w:t xml:space="preserve">- Platform ecosystem with third-party integrations (LIMS vendors, cloud platforms, compliance consultancies)</w:t>
      </w:r>
      <w:r>
        <w:t xml:space="preserve"> </w:t>
      </w:r>
      <w:r>
        <w:t xml:space="preserve">- Potential acquisition target for incumbents (National Instruments, MathWorks) or strategic acquirers (Thermo Fisher, Danaher, Roper Technologies)</w:t>
      </w:r>
      <w:r>
        <w:t xml:space="preserve"> </w:t>
      </w:r>
      <w:r>
        <w:t xml:space="preserve">- Exit opportunities: Strategic acquisition ($50M-150M based on 10-20× revenue multiple) or continued independent growth</w:t>
      </w:r>
    </w:p>
    <w:p>
      <w:r>
        <w:pict>
          <v:rect style="width:0;height:1.5pt" o:hralign="center" o:hrstd="t" o:hr="t"/>
        </w:pict>
      </w:r>
    </w:p>
    <w:bookmarkEnd w:id="115"/>
    <w:bookmarkEnd w:id="116"/>
    <w:bookmarkStart w:id="122" w:name="next-steps"/>
    <w:p>
      <w:pPr>
        <w:pStyle w:val="Heading2"/>
      </w:pPr>
      <w:r>
        <w:rPr>
          <w:rStyle w:val="SectionNumber"/>
        </w:rPr>
        <w:t xml:space="preserve">1.13</w:t>
      </w:r>
      <w:r>
        <w:tab/>
      </w:r>
      <w:r>
        <w:t xml:space="preserve">Next Steps</w:t>
      </w:r>
    </w:p>
    <w:bookmarkStart w:id="117" w:name="immediate-priorities-next-30-days"/>
    <w:p>
      <w:pPr>
        <w:pStyle w:val="Heading3"/>
      </w:pPr>
      <w:r>
        <w:rPr>
          <w:rStyle w:val="SectionNumber"/>
        </w:rPr>
        <w:t xml:space="preserve">1.13.1</w:t>
      </w:r>
      <w:r>
        <w:tab/>
      </w:r>
      <w:r>
        <w:t xml:space="preserve">Immediate Priorities (Next 30 Days)</w:t>
      </w:r>
    </w:p>
    <w:p>
      <w:pPr>
        <w:pStyle w:val="FirstParagraph"/>
      </w:pPr>
      <w:r>
        <w:rPr>
          <w:b/>
          <w:bCs/>
        </w:rPr>
        <w:t xml:space="preserve">1. SRS Partnership Formalization</w:t>
      </w:r>
      <w:r>
        <w:t xml:space="preserve"> </w:t>
      </w:r>
      <w:r>
        <w:t xml:space="preserve">(Week 1-2)</w:t>
      </w:r>
      <w:r>
        <w:t xml:space="preserve"> </w:t>
      </w:r>
      <w:r>
        <w:t xml:space="preserve">- Schedule executive alignment meeting with SRS VP Engineering and Product Management</w:t>
      </w:r>
      <w:r>
        <w:t xml:space="preserve"> </w:t>
      </w:r>
      <w:r>
        <w:t xml:space="preserve">- Draft partnership agreement covering:</w:t>
      </w:r>
      <w:r>
        <w:t xml:space="preserve"> </w:t>
      </w:r>
      <w:r>
        <w:t xml:space="preserve">- Resource allocation commitments (engineering FTE, beta site access)</w:t>
      </w:r>
      <w:r>
        <w:t xml:space="preserve"> </w:t>
      </w:r>
      <w:r>
        <w:t xml:space="preserve">- Revenue share model (profit split or licensing terms)</w:t>
      </w:r>
      <w:r>
        <w:t xml:space="preserve"> </w:t>
      </w:r>
      <w:r>
        <w:t xml:space="preserve">- IP ownership and licensing (Hupyy retains platform IP, SRS co-owns domain-specific components)</w:t>
      </w:r>
      <w:r>
        <w:t xml:space="preserve"> </w:t>
      </w:r>
      <w:r>
        <w:t xml:space="preserve">- Exclusivity terms (SRS exclusive for their product portfolio; Hupyy can expand to other manufacturers)</w:t>
      </w:r>
      <w:r>
        <w:t xml:space="preserve"> </w:t>
      </w:r>
      <w:r>
        <w:t xml:space="preserve">- Term and termination clauses (minimum 18-month commitment through Phase 1-2)</w:t>
      </w:r>
      <w:r>
        <w:t xml:space="preserve"> </w:t>
      </w:r>
      <w:r>
        <w:t xml:space="preserve">- Secure executive signatures by end of Week 2</w:t>
      </w:r>
    </w:p>
    <w:p>
      <w:pPr>
        <w:pStyle w:val="BodyText"/>
      </w:pPr>
      <w:r>
        <w:rPr>
          <w:b/>
          <w:bCs/>
        </w:rPr>
        <w:t xml:space="preserve">2. Hupyy Internal Approval</w:t>
      </w:r>
      <w:r>
        <w:t xml:space="preserve"> </w:t>
      </w:r>
      <w:r>
        <w:t xml:space="preserve">(Week 1-2)</w:t>
      </w:r>
      <w:r>
        <w:t xml:space="preserve"> </w:t>
      </w:r>
      <w:r>
        <w:t xml:space="preserve">- Present opportunity assessment to Hupyy leadership with recommendation</w:t>
      </w:r>
      <w:r>
        <w:t xml:space="preserve"> </w:t>
      </w:r>
      <w:r>
        <w:t xml:space="preserve">- Secure budget approval:</w:t>
      </w:r>
      <w:r>
        <w:t xml:space="preserve"> </w:t>
      </w:r>
      <w:r>
        <w:t xml:space="preserve">- Phase 1: $155K (firm commitment)</w:t>
      </w:r>
      <w:r>
        <w:t xml:space="preserve"> </w:t>
      </w:r>
      <w:r>
        <w:t xml:space="preserve">- Phase 2-3: $605K (contingent on Phase 1 success)</w:t>
      </w:r>
      <w:r>
        <w:t xml:space="preserve"> </w:t>
      </w:r>
      <w:r>
        <w:t xml:space="preserve">- Contingency: $113K (15% reserve)</w:t>
      </w:r>
      <w:r>
        <w:t xml:space="preserve"> </w:t>
      </w:r>
      <w:r>
        <w:t xml:space="preserve">- Confirm engineering team allocation (2 FTE Phase 1, scaling to 3 FTE Phase 3)</w:t>
      </w:r>
      <w:r>
        <w:t xml:space="preserve"> </w:t>
      </w:r>
      <w:r>
        <w:t xml:space="preserve">- Define decision authority and escalation paths</w:t>
      </w:r>
    </w:p>
    <w:p>
      <w:pPr>
        <w:pStyle w:val="BodyText"/>
      </w:pPr>
      <w:r>
        <w:rPr>
          <w:b/>
          <w:bCs/>
        </w:rPr>
        <w:t xml:space="preserve">3. Beta Site Recruitment</w:t>
      </w:r>
      <w:r>
        <w:t xml:space="preserve"> </w:t>
      </w:r>
      <w:r>
        <w:t xml:space="preserve">(Week 1-4)</w:t>
      </w:r>
      <w:r>
        <w:t xml:space="preserve"> </w:t>
      </w:r>
      <w:r>
        <w:t xml:space="preserve">- Collaborate with SRS sales and product teams to identify 10-15 potential beta sites</w:t>
      </w:r>
      <w:r>
        <w:t xml:space="preserve"> </w:t>
      </w:r>
      <w:r>
        <w:t xml:space="preserve">- Selection criteria:</w:t>
      </w:r>
      <w:r>
        <w:t xml:space="preserve"> </w:t>
      </w:r>
      <w:r>
        <w:t xml:space="preserve">- Regulated environment (FDA, ISO 17025, DO-178C preferred)</w:t>
      </w:r>
      <w:r>
        <w:t xml:space="preserve"> </w:t>
      </w:r>
      <w:r>
        <w:t xml:space="preserve">- Existing SRS customer relationship (reduce risk)</w:t>
      </w:r>
      <w:r>
        <w:t xml:space="preserve"> </w:t>
      </w:r>
      <w:r>
        <w:t xml:space="preserve">- Technical sophistication (can handle beta software issues)</w:t>
      </w:r>
      <w:r>
        <w:t xml:space="preserve"> </w:t>
      </w:r>
      <w:r>
        <w:t xml:space="preserve">- Feedback willingness (critical for program success)</w:t>
      </w:r>
      <w:r>
        <w:t xml:space="preserve"> </w:t>
      </w:r>
      <w:r>
        <w:t xml:space="preserve">- Application diversity (pharmaceutical, semiconductor, academic mix)</w:t>
      </w:r>
      <w:r>
        <w:t xml:space="preserve"> </w:t>
      </w:r>
      <w:r>
        <w:t xml:space="preserve">- Develop Beta Testing Agreement (free license Year 1, support commitment, feedback obligations)</w:t>
      </w:r>
      <w:r>
        <w:t xml:space="preserve"> </w:t>
      </w:r>
      <w:r>
        <w:t xml:space="preserve">- Secure commitments from 3-5 beta sites by end of Week 4 (Phase 1 deployment Month 4)</w:t>
      </w:r>
    </w:p>
    <w:p>
      <w:pPr>
        <w:pStyle w:val="BodyText"/>
      </w:pPr>
      <w:r>
        <w:rPr>
          <w:b/>
          <w:bCs/>
        </w:rPr>
        <w:t xml:space="preserve">4. Data and Infrastructure Preparation</w:t>
      </w:r>
      <w:r>
        <w:t xml:space="preserve"> </w:t>
      </w:r>
      <w:r>
        <w:t xml:space="preserve">(Week 1-4)</w:t>
      </w:r>
      <w:r>
        <w:t xml:space="preserve"> </w:t>
      </w:r>
      <w:r>
        <w:t xml:space="preserve">- Request SRS SR860 reference datasets (measurements, error cases, typical workflows)</w:t>
      </w:r>
      <w:r>
        <w:t xml:space="preserve"> </w:t>
      </w:r>
      <w:r>
        <w:t xml:space="preserve">- Assess data quality and identify gaps by Week 2</w:t>
      </w:r>
      <w:r>
        <w:t xml:space="preserve"> </w:t>
      </w:r>
      <w:r>
        <w:t xml:space="preserve">- Establish development infrastructure:</w:t>
      </w:r>
      <w:r>
        <w:t xml:space="preserve"> </w:t>
      </w:r>
      <w:r>
        <w:t xml:space="preserve">- Cloud compute accounts (AWS/GCP for ML training)</w:t>
      </w:r>
      <w:r>
        <w:t xml:space="preserve"> </w:t>
      </w:r>
      <w:r>
        <w:t xml:space="preserve">- Development tools (IDEs, formal verification tools, testing frameworks)</w:t>
      </w:r>
      <w:r>
        <w:t xml:space="preserve"> </w:t>
      </w:r>
      <w:r>
        <w:t xml:space="preserve">- Collaboration platforms (Jira, Confluence, Slack/Teams, GitHub)</w:t>
      </w:r>
      <w:r>
        <w:t xml:space="preserve"> </w:t>
      </w:r>
      <w:r>
        <w:t xml:space="preserve">- Monitoring and analytics (DataDog, New Relic)</w:t>
      </w:r>
      <w:r>
        <w:t xml:space="preserve"> </w:t>
      </w:r>
      <w:r>
        <w:t xml:space="preserve">- Procure SRS SR860 development unit for Hupyy team</w:t>
      </w:r>
    </w:p>
    <w:p>
      <w:pPr>
        <w:pStyle w:val="BodyText"/>
      </w:pPr>
      <w:r>
        <w:rPr>
          <w:b/>
          <w:bCs/>
        </w:rPr>
        <w:t xml:space="preserve">5. Detailed Phase 1 Planning</w:t>
      </w:r>
      <w:r>
        <w:t xml:space="preserve"> </w:t>
      </w:r>
      <w:r>
        <w:t xml:space="preserve">(Week 3-4)</w:t>
      </w:r>
      <w:r>
        <w:t xml:space="preserve"> </w:t>
      </w:r>
      <w:r>
        <w:t xml:space="preserve">- Decompose Phase 1 into weekly sprints with clear deliverables</w:t>
      </w:r>
      <w:r>
        <w:t xml:space="preserve"> </w:t>
      </w:r>
      <w:r>
        <w:t xml:space="preserve">- Define acceptance criteria for each milestone</w:t>
      </w:r>
      <w:r>
        <w:t xml:space="preserve"> </w:t>
      </w:r>
      <w:r>
        <w:t xml:space="preserve">- Establish risk monitoring dashboard (technical performance, user feedback, partnership health)</w:t>
      </w:r>
      <w:r>
        <w:t xml:space="preserve"> </w:t>
      </w:r>
      <w:r>
        <w:t xml:space="preserve">- Schedule weekly technical reviews (Hupyy-SRS joint) and monthly executive updates</w:t>
      </w:r>
      <w:r>
        <w:t xml:space="preserve"> </w:t>
      </w:r>
      <w:r>
        <w:t xml:space="preserve">- Create communication plan for stakeholders</w:t>
      </w:r>
    </w:p>
    <w:bookmarkEnd w:id="117"/>
    <w:bookmarkStart w:id="118" w:name="phase-1-kickoff-month-1-week-1"/>
    <w:p>
      <w:pPr>
        <w:pStyle w:val="Heading3"/>
      </w:pPr>
      <w:r>
        <w:rPr>
          <w:rStyle w:val="SectionNumber"/>
        </w:rPr>
        <w:t xml:space="preserve">1.13.2</w:t>
      </w:r>
      <w:r>
        <w:tab/>
      </w:r>
      <w:r>
        <w:t xml:space="preserve">Phase 1 Kickoff (Month 1, Week 1)</w:t>
      </w:r>
    </w:p>
    <w:p>
      <w:pPr>
        <w:pStyle w:val="FirstParagraph"/>
      </w:pPr>
      <w:r>
        <w:rPr>
          <w:b/>
          <w:bCs/>
        </w:rPr>
        <w:t xml:space="preserve">Joint Hupyy-SRS Kickoff Meeting</w:t>
      </w:r>
      <w:r>
        <w:t xml:space="preserve">:</w:t>
      </w:r>
      <w:r>
        <w:t xml:space="preserve"> </w:t>
      </w:r>
      <w:r>
        <w:t xml:space="preserve">- Attendees: Hupyy engineering team (2 FTE), SRS SR860 product engineer, Hupyy leadership, SRS product management</w:t>
      </w:r>
      <w:r>
        <w:t xml:space="preserve"> </w:t>
      </w:r>
      <w:r>
        <w:t xml:space="preserve">- Agenda:</w:t>
      </w:r>
      <w:r>
        <w:t xml:space="preserve"> </w:t>
      </w:r>
      <w:r>
        <w:t xml:space="preserve">- Partnership agreement review and signatures (if not completed)</w:t>
      </w:r>
      <w:r>
        <w:t xml:space="preserve"> </w:t>
      </w:r>
      <w:r>
        <w:t xml:space="preserve">- Phase 1 objectives and success criteria alignment</w:t>
      </w:r>
      <w:r>
        <w:t xml:space="preserve"> </w:t>
      </w:r>
      <w:r>
        <w:t xml:space="preserve">- Technical deep dive: SR860 DSP algorithms, Python drivers, verification requirements</w:t>
      </w:r>
      <w:r>
        <w:t xml:space="preserve"> </w:t>
      </w:r>
      <w:r>
        <w:t xml:space="preserve">- Beta site status and recruitment plan</w:t>
      </w:r>
      <w:r>
        <w:t xml:space="preserve"> </w:t>
      </w:r>
      <w:r>
        <w:t xml:space="preserve">- Communication protocols and decision-making authority</w:t>
      </w:r>
      <w:r>
        <w:t xml:space="preserve"> </w:t>
      </w:r>
      <w:r>
        <w:t xml:space="preserve">- Risk register review and mitigation strategies</w:t>
      </w:r>
    </w:p>
    <w:p>
      <w:pPr>
        <w:pStyle w:val="BodyText"/>
      </w:pPr>
      <w:r>
        <w:rPr>
          <w:b/>
          <w:bCs/>
        </w:rPr>
        <w:t xml:space="preserve">Week 1-2 Deliverables</w:t>
      </w:r>
      <w:r>
        <w:t xml:space="preserve">:</w:t>
      </w:r>
      <w:r>
        <w:t xml:space="preserve"> </w:t>
      </w:r>
      <w:r>
        <w:t xml:space="preserve">- Project charter signed by both parties</w:t>
      </w:r>
      <w:r>
        <w:t xml:space="preserve"> </w:t>
      </w:r>
      <w:r>
        <w:t xml:space="preserve">- Requirements baseline documented</w:t>
      </w:r>
      <w:r>
        <w:t xml:space="preserve"> </w:t>
      </w:r>
      <w:r>
        <w:t xml:space="preserve">- SR860 reference datasets transferred to Hupyy team</w:t>
      </w:r>
      <w:r>
        <w:t xml:space="preserve"> </w:t>
      </w:r>
      <w:r>
        <w:t xml:space="preserve">- Beta site commitments secured (3-5 sites)</w:t>
      </w:r>
    </w:p>
    <w:p>
      <w:pPr>
        <w:pStyle w:val="BodyText"/>
      </w:pPr>
      <w:r>
        <w:rPr>
          <w:b/>
          <w:bCs/>
        </w:rPr>
        <w:t xml:space="preserve">Week 3-4 Critical POC</w:t>
      </w:r>
      <w:r>
        <w:t xml:space="preserve">:</w:t>
      </w:r>
      <w:r>
        <w:t xml:space="preserve"> </w:t>
      </w:r>
      <w:r>
        <w:t xml:space="preserve">- Implement proof-of-concept verification for representative SR860 operations</w:t>
      </w:r>
      <w:r>
        <w:t xml:space="preserve"> </w:t>
      </w:r>
      <w:r>
        <w:t xml:space="preserve">- Measure actual overhead (target &lt;5ms for 50% margin below 10ms threshold)</w:t>
      </w:r>
      <w:r>
        <w:t xml:space="preserve"> </w:t>
      </w:r>
      <w:r>
        <w:t xml:space="preserve">- Demo to SRS stakeholders for early validation</w:t>
      </w:r>
      <w:r>
        <w:t xml:space="preserve"> </w:t>
      </w:r>
      <w:r>
        <w:t xml:space="preserve">- Go/no-go checkpoint: If POC shows &gt;20ms overhead, trigger contingency planning (architecture pivot, timeline extension, or project scope adjustment)</w:t>
      </w:r>
    </w:p>
    <w:bookmarkEnd w:id="118"/>
    <w:bookmarkStart w:id="119" w:name="communication-and-governance"/>
    <w:p>
      <w:pPr>
        <w:pStyle w:val="Heading3"/>
      </w:pPr>
      <w:r>
        <w:rPr>
          <w:rStyle w:val="SectionNumber"/>
        </w:rPr>
        <w:t xml:space="preserve">1.13.3</w:t>
      </w:r>
      <w:r>
        <w:tab/>
      </w:r>
      <w:r>
        <w:t xml:space="preserve">Communication and Governance</w:t>
      </w:r>
    </w:p>
    <w:p>
      <w:pPr>
        <w:pStyle w:val="FirstParagraph"/>
      </w:pPr>
      <w:r>
        <w:rPr>
          <w:b/>
          <w:bCs/>
        </w:rPr>
        <w:t xml:space="preserve">Weekly Technical Reviews</w:t>
      </w:r>
      <w:r>
        <w:t xml:space="preserve"> </w:t>
      </w:r>
      <w:r>
        <w:t xml:space="preserve">(Hupyy-SRS Engineering):</w:t>
      </w:r>
      <w:r>
        <w:t xml:space="preserve"> </w:t>
      </w:r>
      <w:r>
        <w:t xml:space="preserve">- Progress against milestones</w:t>
      </w:r>
      <w:r>
        <w:t xml:space="preserve"> </w:t>
      </w:r>
      <w:r>
        <w:t xml:space="preserve">- Technical challenges and resolution plans</w:t>
      </w:r>
      <w:r>
        <w:t xml:space="preserve"> </w:t>
      </w:r>
      <w:r>
        <w:t xml:space="preserve">- Risk register updates</w:t>
      </w:r>
      <w:r>
        <w:t xml:space="preserve"> </w:t>
      </w:r>
      <w:r>
        <w:t xml:space="preserve">- Demo of completed work</w:t>
      </w:r>
      <w:r>
        <w:t xml:space="preserve"> </w:t>
      </w:r>
      <w:r>
        <w:t xml:space="preserve">- Next week priorities</w:t>
      </w:r>
    </w:p>
    <w:p>
      <w:pPr>
        <w:pStyle w:val="BodyText"/>
      </w:pPr>
      <w:r>
        <w:rPr>
          <w:b/>
          <w:bCs/>
        </w:rPr>
        <w:t xml:space="preserve">Monthly Executive Updates</w:t>
      </w:r>
      <w:r>
        <w:t xml:space="preserve"> </w:t>
      </w:r>
      <w:r>
        <w:t xml:space="preserve">(Hupyy-SRS Leadership):</w:t>
      </w:r>
      <w:r>
        <w:t xml:space="preserve"> </w:t>
      </w:r>
      <w:r>
        <w:t xml:space="preserve">- Phase 1 progress dashboard (technical metrics, timeline, budget)</w:t>
      </w:r>
      <w:r>
        <w:t xml:space="preserve"> </w:t>
      </w:r>
      <w:r>
        <w:t xml:space="preserve">- User feedback from beta testers (Month 4 onward)</w:t>
      </w:r>
      <w:r>
        <w:t xml:space="preserve"> </w:t>
      </w:r>
      <w:r>
        <w:t xml:space="preserve">- Risk assessment (top 5 risks with mitigation status)</w:t>
      </w:r>
      <w:r>
        <w:t xml:space="preserve"> </w:t>
      </w:r>
      <w:r>
        <w:t xml:space="preserve">- Go/no-go decision readiness (Month 4)</w:t>
      </w:r>
      <w:r>
        <w:t xml:space="preserve"> </w:t>
      </w:r>
      <w:r>
        <w:t xml:space="preserve">- Strategic alignment and partnership health</w:t>
      </w:r>
    </w:p>
    <w:p>
      <w:pPr>
        <w:pStyle w:val="BodyText"/>
      </w:pPr>
      <w:r>
        <w:rPr>
          <w:b/>
          <w:bCs/>
        </w:rPr>
        <w:t xml:space="preserve">Quarterly Strategic Reviews</w:t>
      </w:r>
      <w:r>
        <w:t xml:space="preserve"> </w:t>
      </w:r>
      <w:r>
        <w:t xml:space="preserve">(Post-Phase 1):</w:t>
      </w:r>
      <w:r>
        <w:t xml:space="preserve"> </w:t>
      </w:r>
      <w:r>
        <w:t xml:space="preserve">- Market development and competitive intelligence</w:t>
      </w:r>
      <w:r>
        <w:t xml:space="preserve"> </w:t>
      </w:r>
      <w:r>
        <w:t xml:space="preserve">- Revenue performance versus projections</w:t>
      </w:r>
      <w:r>
        <w:t xml:space="preserve"> </w:t>
      </w:r>
      <w:r>
        <w:t xml:space="preserve">- Customer success metrics (satisfaction, retention, expansion)</w:t>
      </w:r>
      <w:r>
        <w:t xml:space="preserve"> </w:t>
      </w:r>
      <w:r>
        <w:t xml:space="preserve">- Product roadmap prioritization</w:t>
      </w:r>
      <w:r>
        <w:t xml:space="preserve"> </w:t>
      </w:r>
      <w:r>
        <w:t xml:space="preserve">- Investment decisions (Phase 2 regulatory certifications, international expansion, ecosystem partnerships)</w:t>
      </w:r>
    </w:p>
    <w:bookmarkEnd w:id="119"/>
    <w:bookmarkStart w:id="120" w:name="decision-gates-and-checkpoints"/>
    <w:p>
      <w:pPr>
        <w:pStyle w:val="Heading3"/>
      </w:pPr>
      <w:r>
        <w:rPr>
          <w:rStyle w:val="SectionNumber"/>
        </w:rPr>
        <w:t xml:space="preserve">1.13.4</w:t>
      </w:r>
      <w:r>
        <w:tab/>
      </w:r>
      <w:r>
        <w:t xml:space="preserve">Decision Gates and Checkpoints</w:t>
      </w:r>
    </w:p>
    <w:p>
      <w:pPr>
        <w:pStyle w:val="FirstParagraph"/>
      </w:pPr>
      <w:r>
        <w:rPr>
          <w:b/>
          <w:bCs/>
        </w:rPr>
        <w:t xml:space="preserve">Phase 1 Gate (Month 4)</w:t>
      </w:r>
      <w:r>
        <w:t xml:space="preserve">:</w:t>
      </w:r>
      <w:r>
        <w:t xml:space="preserve"> </w:t>
      </w:r>
      <w:r>
        <w:t xml:space="preserve">-</w:t>
      </w:r>
      <w:r>
        <w:t xml:space="preserve"> </w:t>
      </w:r>
      <w:r>
        <w:rPr>
          <w:b/>
          <w:bCs/>
        </w:rPr>
        <w:t xml:space="preserve">Decision</w:t>
      </w:r>
      <w:r>
        <w:t xml:space="preserve">: GO / CONDITIONAL GO / NO-GO to Phase 2-3</w:t>
      </w:r>
      <w:r>
        <w:t xml:space="preserve"> </w:t>
      </w:r>
      <w:r>
        <w:t xml:space="preserve">-</w:t>
      </w:r>
      <w:r>
        <w:t xml:space="preserve"> </w:t>
      </w:r>
      <w:r>
        <w:rPr>
          <w:b/>
          <w:bCs/>
        </w:rPr>
        <w:t xml:space="preserve">Evaluation</w:t>
      </w:r>
      <w:r>
        <w:t xml:space="preserve">: Comprehensive assessment against success criteria (technical, user, commercial, strategic)</w:t>
      </w:r>
      <w:r>
        <w:t xml:space="preserve"> </w:t>
      </w:r>
      <w:r>
        <w:t xml:space="preserve">-</w:t>
      </w:r>
      <w:r>
        <w:t xml:space="preserve"> </w:t>
      </w:r>
      <w:r>
        <w:rPr>
          <w:b/>
          <w:bCs/>
        </w:rPr>
        <w:t xml:space="preserve">Documentation</w:t>
      </w:r>
      <w:r>
        <w:t xml:space="preserve">: Pilot assessment report, Phase 2-3 business case update, risk mitigation plan</w:t>
      </w:r>
      <w:r>
        <w:t xml:space="preserve"> </w:t>
      </w:r>
      <w:r>
        <w:t xml:space="preserve">-</w:t>
      </w:r>
      <w:r>
        <w:t xml:space="preserve"> </w:t>
      </w:r>
      <w:r>
        <w:rPr>
          <w:b/>
          <w:bCs/>
        </w:rPr>
        <w:t xml:space="preserve">Attendees</w:t>
      </w:r>
      <w:r>
        <w:t xml:space="preserve">: Hupyy leadership, SRS product management, joint steering committee</w:t>
      </w:r>
    </w:p>
    <w:p>
      <w:pPr>
        <w:pStyle w:val="BodyText"/>
      </w:pPr>
      <w:r>
        <w:rPr>
          <w:b/>
          <w:bCs/>
        </w:rPr>
        <w:t xml:space="preserve">Phase 2 Gate (Month 7)</w:t>
      </w:r>
      <w:r>
        <w:t xml:space="preserve">:</w:t>
      </w:r>
      <w:r>
        <w:t xml:space="preserve"> </w:t>
      </w:r>
      <w:r>
        <w:t xml:space="preserve">-</w:t>
      </w:r>
      <w:r>
        <w:t xml:space="preserve"> </w:t>
      </w:r>
      <w:r>
        <w:rPr>
          <w:b/>
          <w:bCs/>
        </w:rPr>
        <w:t xml:space="preserve">Decision</w:t>
      </w:r>
      <w:r>
        <w:t xml:space="preserve">: Validate Phase 3 resource plan and scope</w:t>
      </w:r>
      <w:r>
        <w:t xml:space="preserve"> </w:t>
      </w:r>
      <w:r>
        <w:t xml:space="preserve">-</w:t>
      </w:r>
      <w:r>
        <w:t xml:space="preserve"> </w:t>
      </w:r>
      <w:r>
        <w:rPr>
          <w:b/>
          <w:bCs/>
        </w:rPr>
        <w:t xml:space="preserve">Evaluation</w:t>
      </w:r>
      <w:r>
        <w:t xml:space="preserve">: Code reuse rates, development velocity, customer acquisition, revenue performance</w:t>
      </w:r>
      <w:r>
        <w:t xml:space="preserve"> </w:t>
      </w:r>
      <w:r>
        <w:t xml:space="preserve">-</w:t>
      </w:r>
      <w:r>
        <w:t xml:space="preserve"> </w:t>
      </w:r>
      <w:r>
        <w:rPr>
          <w:b/>
          <w:bCs/>
        </w:rPr>
        <w:t xml:space="preserve">Documentation</w:t>
      </w:r>
      <w:r>
        <w:t xml:space="preserve">: Phase 2 results report, Phase 3 execution plan update</w:t>
      </w:r>
      <w:r>
        <w:t xml:space="preserve"> </w:t>
      </w:r>
      <w:r>
        <w:t xml:space="preserve">-</w:t>
      </w:r>
      <w:r>
        <w:t xml:space="preserve"> </w:t>
      </w:r>
      <w:r>
        <w:rPr>
          <w:b/>
          <w:bCs/>
        </w:rPr>
        <w:t xml:space="preserve">Attendees</w:t>
      </w:r>
      <w:r>
        <w:t xml:space="preserve">: Hupyy leadership, SRS product management</w:t>
      </w:r>
    </w:p>
    <w:p>
      <w:pPr>
        <w:pStyle w:val="BodyText"/>
      </w:pPr>
      <w:r>
        <w:rPr>
          <w:b/>
          <w:bCs/>
        </w:rPr>
        <w:t xml:space="preserve">Phase 3 Gate (Month 13)</w:t>
      </w:r>
      <w:r>
        <w:t xml:space="preserve">:</w:t>
      </w:r>
      <w:r>
        <w:t xml:space="preserve"> </w:t>
      </w:r>
      <w:r>
        <w:t xml:space="preserve">-</w:t>
      </w:r>
      <w:r>
        <w:t xml:space="preserve"> </w:t>
      </w:r>
      <w:r>
        <w:rPr>
          <w:b/>
          <w:bCs/>
        </w:rPr>
        <w:t xml:space="preserve">Decision</w:t>
      </w:r>
      <w:r>
        <w:t xml:space="preserve">: Confirm steady-state operations transition</w:t>
      </w:r>
      <w:r>
        <w:t xml:space="preserve"> </w:t>
      </w:r>
      <w:r>
        <w:t xml:space="preserve">-</w:t>
      </w:r>
      <w:r>
        <w:t xml:space="preserve"> </w:t>
      </w:r>
      <w:r>
        <w:rPr>
          <w:b/>
          <w:bCs/>
        </w:rPr>
        <w:t xml:space="preserve">Evaluation</w:t>
      </w:r>
      <w:r>
        <w:t xml:space="preserve">: Product portfolio completeness, revenue traction, operations team readiness</w:t>
      </w:r>
      <w:r>
        <w:t xml:space="preserve"> </w:t>
      </w:r>
      <w:r>
        <w:t xml:space="preserve">-</w:t>
      </w:r>
      <w:r>
        <w:t xml:space="preserve"> </w:t>
      </w:r>
      <w:r>
        <w:rPr>
          <w:b/>
          <w:bCs/>
        </w:rPr>
        <w:t xml:space="preserve">Documentation</w:t>
      </w:r>
      <w:r>
        <w:t xml:space="preserve">: Commercial launch report, Year 2 business plan, regulatory certification roadmap</w:t>
      </w:r>
      <w:r>
        <w:t xml:space="preserve"> </w:t>
      </w:r>
      <w:r>
        <w:t xml:space="preserve">-</w:t>
      </w:r>
      <w:r>
        <w:t xml:space="preserve"> </w:t>
      </w:r>
      <w:r>
        <w:rPr>
          <w:b/>
          <w:bCs/>
        </w:rPr>
        <w:t xml:space="preserve">Attendees</w:t>
      </w:r>
      <w:r>
        <w:t xml:space="preserve">: Hupyy leadership, SRS product management, joint steering committee</w:t>
      </w:r>
    </w:p>
    <w:bookmarkEnd w:id="120"/>
    <w:bookmarkStart w:id="121" w:name="success-definition"/>
    <w:p>
      <w:pPr>
        <w:pStyle w:val="Heading3"/>
      </w:pPr>
      <w:r>
        <w:rPr>
          <w:rStyle w:val="SectionNumber"/>
        </w:rPr>
        <w:t xml:space="preserve">1.13.5</w:t>
      </w:r>
      <w:r>
        <w:tab/>
      </w:r>
      <w:r>
        <w:t xml:space="preserve">Success Definition</w:t>
      </w:r>
    </w:p>
    <w:p>
      <w:pPr>
        <w:pStyle w:val="FirstParagraph"/>
      </w:pPr>
      <w:r>
        <w:rPr>
          <w:b/>
          <w:bCs/>
        </w:rPr>
        <w:t xml:space="preserve">Phase 1 Success</w:t>
      </w:r>
      <w:r>
        <w:t xml:space="preserve"> </w:t>
      </w:r>
      <w:r>
        <w:t xml:space="preserve">= Validation of core assumptions enabling confident Phase 2-3 investment</w:t>
      </w:r>
      <w:r>
        <w:t xml:space="preserve"> </w:t>
      </w:r>
      <w:r>
        <w:t xml:space="preserve">-</w:t>
      </w:r>
      <w:r>
        <w:t xml:space="preserve"> </w:t>
      </w:r>
      <w:r>
        <w:rPr>
          <w:b/>
          <w:bCs/>
        </w:rPr>
        <w:t xml:space="preserve">Technical</w:t>
      </w:r>
      <w:r>
        <w:t xml:space="preserve">: Verification performance &lt;10ms, AI accuracy &gt;90%, seamless integration</w:t>
      </w:r>
      <w:r>
        <w:t xml:space="preserve"> </w:t>
      </w:r>
      <w:r>
        <w:t xml:space="preserve">-</w:t>
      </w:r>
      <w:r>
        <w:t xml:space="preserve"> </w:t>
      </w:r>
      <w:r>
        <w:rPr>
          <w:b/>
          <w:bCs/>
        </w:rPr>
        <w:t xml:space="preserve">User</w:t>
      </w:r>
      <w:r>
        <w:t xml:space="preserve">: &gt;80% satisfaction, documented value (error detection), pricing acceptance</w:t>
      </w:r>
      <w:r>
        <w:t xml:space="preserve"> </w:t>
      </w:r>
      <w:r>
        <w:t xml:space="preserve">-</w:t>
      </w:r>
      <w:r>
        <w:t xml:space="preserve"> </w:t>
      </w:r>
      <w:r>
        <w:rPr>
          <w:b/>
          <w:bCs/>
        </w:rPr>
        <w:t xml:space="preserve">Commercial</w:t>
      </w:r>
      <w:r>
        <w:t xml:space="preserve">: Clear path to $1.2M+ ARR within 18 months post-Phase 3</w:t>
      </w:r>
      <w:r>
        <w:t xml:space="preserve"> </w:t>
      </w:r>
      <w:r>
        <w:t xml:space="preserve">-</w:t>
      </w:r>
      <w:r>
        <w:t xml:space="preserve"> </w:t>
      </w:r>
      <w:r>
        <w:rPr>
          <w:b/>
          <w:bCs/>
        </w:rPr>
        <w:t xml:space="preserve">Strategic</w:t>
      </w:r>
      <w:r>
        <w:t xml:space="preserve">: Strong SRS partnership, defensible competitive position, regulatory pathway clarity</w:t>
      </w:r>
    </w:p>
    <w:p>
      <w:pPr>
        <w:pStyle w:val="BodyText"/>
      </w:pPr>
      <w:r>
        <w:rPr>
          <w:b/>
          <w:bCs/>
        </w:rPr>
        <w:t xml:space="preserve">Overall Success</w:t>
      </w:r>
      <w:r>
        <w:t xml:space="preserve"> </w:t>
      </w:r>
      <w:r>
        <w:t xml:space="preserve">(5 years) = Market-leading position with strong financial returns</w:t>
      </w:r>
      <w:r>
        <w:t xml:space="preserve"> </w:t>
      </w:r>
      <w:r>
        <w:t xml:space="preserve">-</w:t>
      </w:r>
      <w:r>
        <w:t xml:space="preserve"> </w:t>
      </w:r>
      <w:r>
        <w:rPr>
          <w:b/>
          <w:bCs/>
        </w:rPr>
        <w:t xml:space="preserve">Market Position</w:t>
      </w:r>
      <w:r>
        <w:t xml:space="preserve">: 15-30% category share (AI-verified scientific analysis)</w:t>
      </w:r>
      <w:r>
        <w:t xml:space="preserve"> </w:t>
      </w:r>
      <w:r>
        <w:t xml:space="preserve">-</w:t>
      </w:r>
      <w:r>
        <w:t xml:space="preserve"> </w:t>
      </w:r>
      <w:r>
        <w:rPr>
          <w:b/>
          <w:bCs/>
        </w:rPr>
        <w:t xml:space="preserve">Financial</w:t>
      </w:r>
      <w:r>
        <w:t xml:space="preserve">: $5M-8M ARR, 85-90% gross margins, &gt;1,000% ROI</w:t>
      </w:r>
      <w:r>
        <w:t xml:space="preserve"> </w:t>
      </w:r>
      <w:r>
        <w:t xml:space="preserve">-</w:t>
      </w:r>
      <w:r>
        <w:t xml:space="preserve"> </w:t>
      </w:r>
      <w:r>
        <w:rPr>
          <w:b/>
          <w:bCs/>
        </w:rPr>
        <w:t xml:space="preserve">Customer</w:t>
      </w:r>
      <w:r>
        <w:t xml:space="preserve">: 100-200 customers with &gt;90% retention, NPS &gt;50</w:t>
      </w:r>
      <w:r>
        <w:t xml:space="preserve"> </w:t>
      </w:r>
      <w:r>
        <w:t xml:space="preserve">-</w:t>
      </w:r>
      <w:r>
        <w:t xml:space="preserve"> </w:t>
      </w:r>
      <w:r>
        <w:rPr>
          <w:b/>
          <w:bCs/>
        </w:rPr>
        <w:t xml:space="preserve">Strategic</w:t>
      </w:r>
      <w:r>
        <w:t xml:space="preserve">: Exit optionality (strategic acquisition or continued independent growth at scale)</w:t>
      </w:r>
    </w:p>
    <w:p>
      <w:r>
        <w:pict>
          <v:rect style="width:0;height:1.5pt" o:hralign="center" o:hrstd="t" o:hr="t"/>
        </w:pict>
      </w:r>
    </w:p>
    <w:bookmarkEnd w:id="121"/>
    <w:bookmarkEnd w:id="122"/>
    <w:bookmarkStart w:id="126" w:name="appendices"/>
    <w:p>
      <w:pPr>
        <w:pStyle w:val="Heading2"/>
      </w:pPr>
      <w:r>
        <w:rPr>
          <w:rStyle w:val="SectionNumber"/>
        </w:rPr>
        <w:t xml:space="preserve">1.14</w:t>
      </w:r>
      <w:r>
        <w:tab/>
      </w:r>
      <w:r>
        <w:t xml:space="preserve">Appendices</w:t>
      </w:r>
    </w:p>
    <w:bookmarkStart w:id="123" w:name="appendix-a-research-files-inventory"/>
    <w:p>
      <w:pPr>
        <w:pStyle w:val="Heading3"/>
      </w:pPr>
      <w:r>
        <w:rPr>
          <w:rStyle w:val="SectionNumber"/>
        </w:rPr>
        <w:t xml:space="preserve">1.14.1</w:t>
      </w:r>
      <w:r>
        <w:tab/>
      </w:r>
      <w:r>
        <w:t xml:space="preserve">Appendix A: Research Files Inventory</w:t>
      </w:r>
    </w:p>
    <w:p>
      <w:pPr>
        <w:pStyle w:val="FirstParagraph"/>
      </w:pPr>
      <w:r>
        <w:rPr>
          <w:b/>
          <w:bCs/>
        </w:rPr>
        <w:t xml:space="preserve">Total Research Output</w:t>
      </w:r>
      <w:r>
        <w:t xml:space="preserve">: 32 files, 133,012 words across 5 task areas</w:t>
      </w:r>
    </w:p>
    <w:p>
      <w:pPr>
        <w:pStyle w:val="BodyText"/>
      </w:pPr>
      <w:r>
        <w:rPr>
          <w:b/>
          <w:bCs/>
        </w:rPr>
        <w:t xml:space="preserve">Task 01 - Technical &amp; Regulatory Landscape</w:t>
      </w:r>
      <w:r>
        <w:t xml:space="preserve"> </w:t>
      </w:r>
      <w:r>
        <w:t xml:space="preserve">(6 files, 16,655 words):</w:t>
      </w:r>
      <w:r>
        <w:t xml:space="preserve"> </w:t>
      </w:r>
      <w:r>
        <w:t xml:space="preserve">1. Scientific instrument data analysis standards</w:t>
      </w:r>
      <w:r>
        <w:t xml:space="preserve"> </w:t>
      </w:r>
      <w:r>
        <w:t xml:space="preserve">2. Formal verification for signal processing algorithms</w:t>
      </w:r>
      <w:r>
        <w:t xml:space="preserve"> </w:t>
      </w:r>
      <w:r>
        <w:t xml:space="preserve">3. Python scientific computing verification</w:t>
      </w:r>
      <w:r>
        <w:t xml:space="preserve"> </w:t>
      </w:r>
      <w:r>
        <w:t xml:space="preserve">4. Data integrity in regulated laboratories</w:t>
      </w:r>
      <w:r>
        <w:t xml:space="preserve"> </w:t>
      </w:r>
      <w:r>
        <w:t xml:space="preserve">5. Existing verification tools for scientific computing</w:t>
      </w:r>
      <w:r>
        <w:t xml:space="preserve"> </w:t>
      </w:r>
      <w:r>
        <w:t xml:space="preserve">6. Integration architecture for instrument control</w:t>
      </w:r>
    </w:p>
    <w:p>
      <w:pPr>
        <w:pStyle w:val="BodyText"/>
      </w:pPr>
      <w:r>
        <w:rPr>
          <w:b/>
          <w:bCs/>
        </w:rPr>
        <w:t xml:space="preserve">Task 02 - Market &amp; Competitive Assessment</w:t>
      </w:r>
      <w:r>
        <w:t xml:space="preserve"> </w:t>
      </w:r>
      <w:r>
        <w:t xml:space="preserve">(6 files, 26,736 words):</w:t>
      </w:r>
      <w:r>
        <w:t xml:space="preserve"> </w:t>
      </w:r>
      <w:r>
        <w:t xml:space="preserve">1. TAM/SAM/SOM analysis</w:t>
      </w:r>
      <w:r>
        <w:t xml:space="preserve"> </w:t>
      </w:r>
      <w:r>
        <w:t xml:space="preserve">2. Competitive landscape analysis</w:t>
      </w:r>
      <w:r>
        <w:t xml:space="preserve"> </w:t>
      </w:r>
      <w:r>
        <w:t xml:space="preserve">3. Customer segments in regulated industries</w:t>
      </w:r>
      <w:r>
        <w:t xml:space="preserve"> </w:t>
      </w:r>
      <w:r>
        <w:t xml:space="preserve">4. Pricing models for scientific software</w:t>
      </w:r>
      <w:r>
        <w:t xml:space="preserve"> </w:t>
      </w:r>
      <w:r>
        <w:t xml:space="preserve">5. Market trends in lab automation and AI</w:t>
      </w:r>
      <w:r>
        <w:t xml:space="preserve"> </w:t>
      </w:r>
      <w:r>
        <w:t xml:space="preserve">6. Market research executive summary</w:t>
      </w:r>
    </w:p>
    <w:p>
      <w:pPr>
        <w:pStyle w:val="BodyText"/>
      </w:pPr>
      <w:r>
        <w:rPr>
          <w:b/>
          <w:bCs/>
        </w:rPr>
        <w:t xml:space="preserve">Task 03 - Solution Architecture Design</w:t>
      </w:r>
      <w:r>
        <w:t xml:space="preserve"> </w:t>
      </w:r>
      <w:r>
        <w:t xml:space="preserve">(7 files, 24,280 words):</w:t>
      </w:r>
      <w:r>
        <w:t xml:space="preserve"> </w:t>
      </w:r>
      <w:r>
        <w:t xml:space="preserve">1. Integration architecture with srsgui framework</w:t>
      </w:r>
      <w:r>
        <w:t xml:space="preserve"> </w:t>
      </w:r>
      <w:r>
        <w:t xml:space="preserve">2. Real-time verification workflow</w:t>
      </w:r>
      <w:r>
        <w:t xml:space="preserve"> </w:t>
      </w:r>
      <w:r>
        <w:t xml:space="preserve">3. SMT-LIB conversion for signal processing</w:t>
      </w:r>
      <w:r>
        <w:t xml:space="preserve"> </w:t>
      </w:r>
      <w:r>
        <w:t xml:space="preserve">4. User interface design for verification results</w:t>
      </w:r>
      <w:r>
        <w:t xml:space="preserve"> </w:t>
      </w:r>
      <w:r>
        <w:t xml:space="preserve">5. Cloud vs. edge deployment architecture</w:t>
      </w:r>
      <w:r>
        <w:t xml:space="preserve"> </w:t>
      </w:r>
      <w:r>
        <w:t xml:space="preserve">6. Scalability for multi-instrument laboratories</w:t>
      </w:r>
      <w:r>
        <w:t xml:space="preserve"> </w:t>
      </w:r>
      <w:r>
        <w:t xml:space="preserve">7. Architecture summary</w:t>
      </w:r>
    </w:p>
    <w:p>
      <w:pPr>
        <w:pStyle w:val="BodyText"/>
      </w:pPr>
      <w:r>
        <w:rPr>
          <w:b/>
          <w:bCs/>
        </w:rPr>
        <w:t xml:space="preserve">Task 04 - Certification &amp; Testing Strategy</w:t>
      </w:r>
      <w:r>
        <w:t xml:space="preserve"> </w:t>
      </w:r>
      <w:r>
        <w:t xml:space="preserve">(7 files, 37,392 words):</w:t>
      </w:r>
      <w:r>
        <w:t xml:space="preserve"> </w:t>
      </w:r>
      <w:r>
        <w:t xml:space="preserve">1. FDA 21 CFR Part 11 compliance</w:t>
      </w:r>
      <w:r>
        <w:t xml:space="preserve"> </w:t>
      </w:r>
      <w:r>
        <w:t xml:space="preserve">2. ISO/IEC 17025 laboratory accreditation</w:t>
      </w:r>
      <w:r>
        <w:t xml:space="preserve"> </w:t>
      </w:r>
      <w:r>
        <w:t xml:space="preserve">3. IEC 62304 medical device software lifecycle</w:t>
      </w:r>
      <w:r>
        <w:t xml:space="preserve"> </w:t>
      </w:r>
      <w:r>
        <w:t xml:space="preserve">4. Performance testing and validation methodology</w:t>
      </w:r>
      <w:r>
        <w:t xml:space="preserve"> </w:t>
      </w:r>
      <w:r>
        <w:t xml:space="preserve">5. Beta testing program design</w:t>
      </w:r>
      <w:r>
        <w:t xml:space="preserve"> </w:t>
      </w:r>
      <w:r>
        <w:t xml:space="preserve">6. Certification pathway roadmap</w:t>
      </w:r>
      <w:r>
        <w:t xml:space="preserve"> </w:t>
      </w:r>
      <w:r>
        <w:t xml:space="preserve">7. Certification strategy summary</w:t>
      </w:r>
    </w:p>
    <w:p>
      <w:pPr>
        <w:pStyle w:val="BodyText"/>
      </w:pPr>
      <w:r>
        <w:rPr>
          <w:b/>
          <w:bCs/>
        </w:rPr>
        <w:t xml:space="preserve">Task 05 - Implementation Roadmap</w:t>
      </w:r>
      <w:r>
        <w:t xml:space="preserve"> </w:t>
      </w:r>
      <w:r>
        <w:t xml:space="preserve">(6 files, 27,949 words):</w:t>
      </w:r>
      <w:r>
        <w:t xml:space="preserve"> </w:t>
      </w:r>
      <w:r>
        <w:t xml:space="preserve">1. Phase 1 pilot roadmap (SR860 lock-in amplifier)</w:t>
      </w:r>
      <w:r>
        <w:t xml:space="preserve"> </w:t>
      </w:r>
      <w:r>
        <w:t xml:space="preserve">2. Phase 2 expansion roadmap (RGA, spectrum analyzers)</w:t>
      </w:r>
      <w:r>
        <w:t xml:space="preserve"> </w:t>
      </w:r>
      <w:r>
        <w:t xml:space="preserve">3. Phase 3 full integration roadmap (20-25 products)</w:t>
      </w:r>
      <w:r>
        <w:t xml:space="preserve"> </w:t>
      </w:r>
      <w:r>
        <w:t xml:space="preserve">4. Resource requirements and cost structure</w:t>
      </w:r>
      <w:r>
        <w:t xml:space="preserve"> </w:t>
      </w:r>
      <w:r>
        <w:t xml:space="preserve">5. Partnership structure and models</w:t>
      </w:r>
      <w:r>
        <w:t xml:space="preserve"> </w:t>
      </w:r>
      <w:r>
        <w:t xml:space="preserve">6. Risk mitigation and contingency plans</w:t>
      </w:r>
    </w:p>
    <w:bookmarkEnd w:id="123"/>
    <w:bookmarkStart w:id="124" w:name="X0dcc8be3c7bd2cfd6638e6c8ab80e66e6b40415"/>
    <w:p>
      <w:pPr>
        <w:pStyle w:val="Heading3"/>
      </w:pPr>
      <w:r>
        <w:rPr>
          <w:rStyle w:val="SectionNumber"/>
        </w:rPr>
        <w:t xml:space="preserve">1.14.2</w:t>
      </w:r>
      <w:r>
        <w:tab/>
      </w:r>
      <w:r>
        <w:t xml:space="preserve">Appendix B: Key Assumptions and Sensitivities</w:t>
      </w:r>
    </w:p>
    <w:p>
      <w:pPr>
        <w:pStyle w:val="FirstParagraph"/>
      </w:pPr>
      <w:r>
        <w:rPr>
          <w:b/>
          <w:bCs/>
        </w:rPr>
        <w:t xml:space="preserve">Market Assumptions</w:t>
      </w:r>
      <w:r>
        <w:t xml:space="preserve">:</w:t>
      </w:r>
      <w:r>
        <w:t xml:space="preserve"> </w:t>
      </w:r>
      <w:r>
        <w:t xml:space="preserve">- TAM growth 7.5-8.5% CAGR (sensitivity: ±2% impacts 5-year SOM by ±15%)</w:t>
      </w:r>
      <w:r>
        <w:t xml:space="preserve"> </w:t>
      </w:r>
      <w:r>
        <w:t xml:space="preserve">- SAM verified analysis category growth 15-20% CAGR (sensitivity: ±5% impacts revenue projections by ±25%)</w:t>
      </w:r>
      <w:r>
        <w:t xml:space="preserve"> </w:t>
      </w:r>
      <w:r>
        <w:t xml:space="preserve">- Market penetration 5% of SAM by Year 5 (sensitivity: 3-7% range impacts SOM $29M-67M)</w:t>
      </w:r>
    </w:p>
    <w:p>
      <w:pPr>
        <w:pStyle w:val="BodyText"/>
      </w:pPr>
      <w:r>
        <w:rPr>
          <w:b/>
          <w:bCs/>
        </w:rPr>
        <w:t xml:space="preserve">Technical Assumptions</w:t>
      </w:r>
      <w:r>
        <w:t xml:space="preserve">:</w:t>
      </w:r>
      <w:r>
        <w:t xml:space="preserve"> </w:t>
      </w:r>
      <w:r>
        <w:t xml:space="preserve">- Verification overhead &lt;10ms for 95% of operations (critical assumption; &gt;20ms triggers pivot)</w:t>
      </w:r>
      <w:r>
        <w:t xml:space="preserve"> </w:t>
      </w:r>
      <w:r>
        <w:t xml:space="preserve">- Code reuse &gt;70% across product families (sensitivity: 50-80% range impacts Phase 3 cost $400K-650K)</w:t>
      </w:r>
      <w:r>
        <w:t xml:space="preserve"> </w:t>
      </w:r>
      <w:r>
        <w:t xml:space="preserve">- AI accuracy &gt;90% on test dataset (sensitivity: 80-95% range impacts user satisfaction and adoption)</w:t>
      </w:r>
    </w:p>
    <w:p>
      <w:pPr>
        <w:pStyle w:val="BodyText"/>
      </w:pPr>
      <w:r>
        <w:rPr>
          <w:b/>
          <w:bCs/>
        </w:rPr>
        <w:t xml:space="preserve">Partnership Assumptions</w:t>
      </w:r>
      <w:r>
        <w:t xml:space="preserve">:</w:t>
      </w:r>
      <w:r>
        <w:t xml:space="preserve"> </w:t>
      </w:r>
      <w:r>
        <w:t xml:space="preserve">- SRS resource allocation 0.5-2.0 FTE sustained throughout phases (critical assumption; &lt;0.25 FTE triggers contingency)</w:t>
      </w:r>
      <w:r>
        <w:t xml:space="preserve"> </w:t>
      </w:r>
      <w:r>
        <w:t xml:space="preserve">- Beta site access through SRS customer relationships (sensitivity: 3-5 sites minimum; &lt;3 extends timeline)</w:t>
      </w:r>
      <w:r>
        <w:t xml:space="preserve"> </w:t>
      </w:r>
      <w:r>
        <w:t xml:space="preserve">- White-label bundling opportunity by Phase 3 exit (upside scenario; not baseline)</w:t>
      </w:r>
    </w:p>
    <w:p>
      <w:pPr>
        <w:pStyle w:val="BodyText"/>
      </w:pPr>
      <w:r>
        <w:rPr>
          <w:b/>
          <w:bCs/>
        </w:rPr>
        <w:t xml:space="preserve">Financial Assumptions</w:t>
      </w:r>
      <w:r>
        <w:t xml:space="preserve">:</w:t>
      </w:r>
      <w:r>
        <w:t xml:space="preserve"> </w:t>
      </w:r>
      <w:r>
        <w:t xml:space="preserve">- Gross margin 85-90% (sensitivity: 75-90% range impacts break-even by ±3 months)</w:t>
      </w:r>
      <w:r>
        <w:t xml:space="preserve"> </w:t>
      </w:r>
      <w:r>
        <w:t xml:space="preserve">- Customer LTV $60K-100K (sensitivity: $40K-120K range impacts LTV/CAC ratio 3-9×)</w:t>
      </w:r>
      <w:r>
        <w:t xml:space="preserve"> </w:t>
      </w:r>
      <w:r>
        <w:t xml:space="preserve">- CAC $10K-15K (sensitivity: $5K-25K based on SRS partnership effectiveness)</w:t>
      </w:r>
    </w:p>
    <w:p>
      <w:pPr>
        <w:pStyle w:val="BodyText"/>
      </w:pPr>
      <w:r>
        <w:rPr>
          <w:b/>
          <w:bCs/>
        </w:rPr>
        <w:t xml:space="preserve">Regulatory Assumptions</w:t>
      </w:r>
      <w:r>
        <w:t xml:space="preserve">:</w:t>
      </w:r>
      <w:r>
        <w:t xml:space="preserve"> </w:t>
      </w:r>
      <w:r>
        <w:t xml:space="preserve">- Phase 1 certifications sufficient for pharmaceutical/laboratory markets (validated assumption)</w:t>
      </w:r>
      <w:r>
        <w:t xml:space="preserve"> </w:t>
      </w:r>
      <w:r>
        <w:t xml:space="preserve">- FDA 510(k) success probability 70-80% first submission (industry benchmark; additional iteration may be required)</w:t>
      </w:r>
      <w:r>
        <w:t xml:space="preserve"> </w:t>
      </w:r>
      <w:r>
        <w:t xml:space="preserve">- Regulatory timelines per industry standards (18-24 months FDA 510(k); sensitivity: ±6 months impacts market entry)</w:t>
      </w:r>
    </w:p>
    <w:bookmarkEnd w:id="124"/>
    <w:bookmarkStart w:id="125" w:name="appendix-c-references-and-citations"/>
    <w:p>
      <w:pPr>
        <w:pStyle w:val="Heading3"/>
      </w:pPr>
      <w:r>
        <w:rPr>
          <w:rStyle w:val="SectionNumber"/>
        </w:rPr>
        <w:t xml:space="preserve">1.14.3</w:t>
      </w:r>
      <w:r>
        <w:tab/>
      </w:r>
      <w:r>
        <w:t xml:space="preserve">Appendix C: References and Citations</w:t>
      </w:r>
    </w:p>
    <w:p>
      <w:pPr>
        <w:pStyle w:val="FirstParagraph"/>
      </w:pPr>
      <w:r>
        <w:rPr>
          <w:b/>
          <w:bCs/>
        </w:rPr>
        <w:t xml:space="preserve">Market Research</w:t>
      </w:r>
      <w:r>
        <w:t xml:space="preserve">:</w:t>
      </w:r>
      <w:r>
        <w:t xml:space="preserve"> </w:t>
      </w:r>
      <w:r>
        <w:t xml:space="preserve">- Verified Market Reports (2024). Laboratory Data Management and Analysis Software Market</w:t>
      </w:r>
      <w:r>
        <w:t xml:space="preserve"> </w:t>
      </w:r>
      <w:r>
        <w:t xml:space="preserve">- Business Research Insights (2024). Scientific Data Management System Software Market</w:t>
      </w:r>
      <w:r>
        <w:t xml:space="preserve"> </w:t>
      </w:r>
      <w:r>
        <w:t xml:space="preserve">- Data Bridge Market Research (2024). Global Test and Measurement Equipment Market</w:t>
      </w:r>
      <w:r>
        <w:t xml:space="preserve"> </w:t>
      </w:r>
      <w:r>
        <w:t xml:space="preserve">- IMARC Group (2024). Scientific Instrument Market</w:t>
      </w:r>
      <w:r>
        <w:t xml:space="preserve"> </w:t>
      </w:r>
      <w:r>
        <w:t xml:space="preserve">- Grand View Research (2024). Laboratory Information Management System Market</w:t>
      </w:r>
    </w:p>
    <w:p>
      <w:pPr>
        <w:pStyle w:val="BodyText"/>
      </w:pPr>
      <w:r>
        <w:rPr>
          <w:b/>
          <w:bCs/>
        </w:rPr>
        <w:t xml:space="preserve">Regulatory Standards</w:t>
      </w:r>
      <w:r>
        <w:t xml:space="preserve">:</w:t>
      </w:r>
      <w:r>
        <w:t xml:space="preserve"> </w:t>
      </w:r>
      <w:r>
        <w:t xml:space="preserve">- FDA (2024). 21 CFR Part 11 Electronic Records and Electronic Signatures</w:t>
      </w:r>
      <w:r>
        <w:t xml:space="preserve"> </w:t>
      </w:r>
      <w:r>
        <w:t xml:space="preserve">- ISO/IEC 17025:2017. General requirements for the competence of testing and calibration laboratories</w:t>
      </w:r>
      <w:r>
        <w:t xml:space="preserve"> </w:t>
      </w:r>
      <w:r>
        <w:t xml:space="preserve">- IEC 62304:2015. Medical device software - Software life cycle processes</w:t>
      </w:r>
      <w:r>
        <w:t xml:space="preserve"> </w:t>
      </w:r>
      <w:r>
        <w:t xml:space="preserve">- ISO 13485:2016. Medical devices - Quality management systems</w:t>
      </w:r>
      <w:r>
        <w:t xml:space="preserve"> </w:t>
      </w:r>
      <w:r>
        <w:t xml:space="preserve">- RTCA DO-178C (2011). Software Considerations in Airborne Systems and Equipment Certification</w:t>
      </w:r>
    </w:p>
    <w:p>
      <w:pPr>
        <w:pStyle w:val="BodyText"/>
      </w:pPr>
      <w:r>
        <w:rPr>
          <w:b/>
          <w:bCs/>
        </w:rPr>
        <w:t xml:space="preserve">Technical Research</w:t>
      </w:r>
      <w:r>
        <w:t xml:space="preserve">:</w:t>
      </w:r>
      <w:r>
        <w:t xml:space="preserve"> </w:t>
      </w:r>
      <w:r>
        <w:t xml:space="preserve">- de Moura, L., &amp; Bjørner, N. (2008). Z3: An efficient SMT solver. Tools and Algorithms for the Construction and Analysis of Systems</w:t>
      </w:r>
      <w:r>
        <w:t xml:space="preserve"> </w:t>
      </w:r>
      <w:r>
        <w:t xml:space="preserve">- Stanford Research Systems (2024). SR860 Lock-In Amplifier Technical Documentation</w:t>
      </w:r>
      <w:r>
        <w:t xml:space="preserve"> </w:t>
      </w:r>
      <w:r>
        <w:t xml:space="preserve">- NumPy/SciPy/PyTorch/TensorFlow Official Documentation</w:t>
      </w:r>
      <w:r>
        <w:t xml:space="preserve"> </w:t>
      </w:r>
      <w:r>
        <w:t xml:space="preserve">- Concordia University Hardware Verification Group (2003). HOL Framework for DSP Verification</w:t>
      </w:r>
    </w:p>
    <w:p>
      <w:pPr>
        <w:pStyle w:val="BodyText"/>
      </w:pPr>
      <w:r>
        <w:rPr>
          <w:b/>
          <w:bCs/>
        </w:rPr>
        <w:t xml:space="preserve">Business and Strategy</w:t>
      </w:r>
      <w:r>
        <w:t xml:space="preserve">:</w:t>
      </w:r>
      <w:r>
        <w:t xml:space="preserve"> </w:t>
      </w:r>
      <w:r>
        <w:t xml:space="preserve">- Blank, S., &amp; Dorf, B. (2012). The Startup Owner’s Manual</w:t>
      </w:r>
      <w:r>
        <w:t xml:space="preserve"> </w:t>
      </w:r>
      <w:r>
        <w:t xml:space="preserve">- Ries, E. (2011). The Lean Startup</w:t>
      </w:r>
      <w:r>
        <w:t xml:space="preserve"> </w:t>
      </w:r>
      <w:r>
        <w:t xml:space="preserve">- Christensen, C. M. (1997). The Innovator’s Dilemma</w:t>
      </w:r>
      <w:r>
        <w:t xml:space="preserve"> </w:t>
      </w:r>
      <w:r>
        <w:t xml:space="preserve">- SaaS Capital (2024). SaaS Survey Results: Private Company Performance Benchmarks</w:t>
      </w:r>
      <w:r>
        <w:t xml:space="preserve"> </w:t>
      </w:r>
      <w:r>
        <w:t xml:space="preserve">- Skok, D. (2024). SaaS Metrics 2.0 - A Guide to Measuring and Improving What Matters</w:t>
      </w:r>
    </w:p>
    <w:p>
      <w:r>
        <w:pict>
          <v:rect style="width:0;height:1.5pt" o:hralign="center" o:hrstd="t" o:hr="t"/>
        </w:pict>
      </w:r>
    </w:p>
    <w:p>
      <w:pPr>
        <w:pStyle w:val="FirstParagraph"/>
      </w:pPr>
      <w:r>
        <w:rPr>
          <w:b/>
          <w:bCs/>
        </w:rPr>
        <w:t xml:space="preserve">END OF STRATEGIC OPPORTUNITY ASSESSMENT</w:t>
      </w:r>
    </w:p>
    <w:p>
      <w:pPr>
        <w:pStyle w:val="BodyText"/>
      </w:pPr>
      <w:r>
        <w:rPr>
          <w:b/>
          <w:bCs/>
        </w:rPr>
        <w:t xml:space="preserve">Report Prepared By</w:t>
      </w:r>
      <w:r>
        <w:t xml:space="preserve">: report-synthesizer agent</w:t>
      </w:r>
      <w:r>
        <w:t xml:space="preserve"> </w:t>
      </w:r>
      <w:r>
        <w:rPr>
          <w:b/>
          <w:bCs/>
        </w:rPr>
        <w:t xml:space="preserve">Research Team</w:t>
      </w:r>
      <w:r>
        <w:t xml:space="preserve">: technical-researcher, market-analyst, solution-architect, compliance-analyst, roadmap-planner</w:t>
      </w:r>
      <w:r>
        <w:t xml:space="preserve"> </w:t>
      </w:r>
      <w:r>
        <w:rPr>
          <w:b/>
          <w:bCs/>
        </w:rPr>
        <w:t xml:space="preserve">Total Research</w:t>
      </w:r>
      <w:r>
        <w:t xml:space="preserve">: 32 files, 133,012 words</w:t>
      </w:r>
      <w:r>
        <w:t xml:space="preserve"> </w:t>
      </w:r>
      <w:r>
        <w:rPr>
          <w:b/>
          <w:bCs/>
        </w:rPr>
        <w:t xml:space="preserve">Assessment Duration</w:t>
      </w:r>
      <w:r>
        <w:t xml:space="preserve">: Sprint 01 (2025-11-16)</w:t>
      </w:r>
      <w:r>
        <w:t xml:space="preserve"> </w:t>
      </w:r>
      <w:r>
        <w:rPr>
          <w:b/>
          <w:bCs/>
        </w:rPr>
        <w:t xml:space="preserve">Report Word Count</w:t>
      </w:r>
      <w:r>
        <w:t xml:space="preserve">: 25,147 words</w:t>
      </w:r>
    </w:p>
    <w:p>
      <w:pPr>
        <w:pStyle w:val="BodyText"/>
      </w:pPr>
      <w:r>
        <w:rPr>
          <w:b/>
          <w:bCs/>
        </w:rPr>
        <w:t xml:space="preserve">Recommendation</w:t>
      </w:r>
      <w:r>
        <w:t xml:space="preserve">: CONDITIONAL GO - Proceed with Phase 1 Pilot ($155K, 4 months)</w:t>
      </w:r>
    </w:p>
    <w:p>
      <w:pPr>
        <w:pStyle w:val="BodyText"/>
      </w:pPr>
      <w:r>
        <w:rPr>
          <w:b/>
          <w:bCs/>
        </w:rPr>
        <w:t xml:space="preserve">Next Action</w:t>
      </w:r>
      <w:r>
        <w:t xml:space="preserve">: Executive decision meeting to approve Phase 1 initiation and SRS partnership formalization</w:t>
      </w:r>
    </w:p>
    <w:bookmarkEnd w:id="125"/>
    <w:bookmarkEnd w:id="126"/>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2025-11-17T00:33:24Z</dcterms:created>
  <dcterms:modified xsi:type="dcterms:W3CDTF">2025-11-17T00:33:24Z</dcterms:modified>
</cp:coreProperties>
</file>

<file path=docProps/custom.xml><?xml version="1.0" encoding="utf-8"?>
<Properties xmlns="http://schemas.openxmlformats.org/officeDocument/2006/custom-properties" xmlns:vt="http://schemas.openxmlformats.org/officeDocument/2006/docPropsVTypes"/>
</file>