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db1c2bec54ec4e9f9785f1dbb1f2beed221c7a6"/>
    <w:p>
      <w:pPr>
        <w:pStyle w:val="Heading1"/>
      </w:pPr>
      <w:r>
        <w:rPr>
          <w:rStyle w:val="SectionNumber"/>
        </w:rPr>
        <w:t xml:space="preserve">1</w:t>
      </w:r>
      <w:r>
        <w:tab/>
      </w:r>
      <w:r>
        <w:t xml:space="preserve">Sprint 02: Automated Calibration Verification System - Strategic Analysis</w:t>
      </w:r>
    </w:p>
    <w:p>
      <w:pPr>
        <w:pStyle w:val="FirstParagraph"/>
      </w:pPr>
      <w:r>
        <w:rPr>
          <w:b/>
          <w:bCs/>
        </w:rPr>
        <w:t xml:space="preserve">Date</w:t>
      </w:r>
      <w:r>
        <w:t xml:space="preserve">: 2025-11-16</w:t>
      </w:r>
      <w:r>
        <w:t xml:space="preserve"> </w:t>
      </w:r>
      <w:r>
        <w:rPr>
          <w:b/>
          <w:bCs/>
        </w:rPr>
        <w:t xml:space="preserve">Sprint</w:t>
      </w:r>
      <w:r>
        <w:t xml:space="preserve">: 02 - Automated Calibration Verification System</w:t>
      </w:r>
      <w:r>
        <w:t xml:space="preserve"> </w:t>
      </w:r>
      <w:r>
        <w:rPr>
          <w:b/>
          <w:bCs/>
        </w:rPr>
        <w:t xml:space="preserve">Company</w:t>
      </w:r>
      <w:r>
        <w:t xml:space="preserve">: Hupyy (SMT solver expertise for formal verification)</w:t>
      </w:r>
      <w:r>
        <w:t xml:space="preserve"> </w:t>
      </w:r>
      <w:r>
        <w:rPr>
          <w:b/>
          <w:bCs/>
        </w:rPr>
        <w:t xml:space="preserve">Client</w:t>
      </w:r>
      <w:r>
        <w:t xml:space="preserve">: Stanford Research Systems (precision test &amp; measurement instruments)</w:t>
      </w:r>
      <w:r>
        <w:t xml:space="preserve"> </w:t>
      </w:r>
      <w:r>
        <w:rPr>
          <w:b/>
          <w:bCs/>
        </w:rPr>
        <w:t xml:space="preserve">Opportunity Score</w:t>
      </w:r>
      <w:r>
        <w:t xml:space="preserve">:</w:t>
      </w:r>
      <w:r>
        <w:t xml:space="preserve"> </w:t>
      </w:r>
      <w:r>
        <w:rPr>
          <w:b/>
          <w:bCs/>
        </w:rPr>
        <w:t xml:space="preserve">78/100</w:t>
      </w:r>
      <w:r>
        <w:t xml:space="preserve"> </w:t>
      </w:r>
      <w:r>
        <w:t xml:space="preserve">(</w:t>
      </w:r>
      <w:r>
        <w:rPr>
          <w:b/>
          <w:bCs/>
        </w:rPr>
        <w:t xml:space="preserve">GO</w:t>
      </w:r>
      <w:r>
        <w:t xml:space="preserve"> </w:t>
      </w:r>
      <w:r>
        <w:t xml:space="preserve">- Strong Proceed with Confidence)</w:t>
      </w:r>
    </w:p>
    <w:p>
      <w:r>
        <w:pict>
          <v:rect style="width:0;height:1.5pt" o:hralign="center" o:hrstd="t" o:hr="t"/>
        </w:pict>
      </w:r>
    </w:p>
    <w:bookmarkStart w:id="9" w:name="executive-summary"/>
    <w:p>
      <w:pPr>
        <w:pStyle w:val="Heading2"/>
      </w:pPr>
      <w:r>
        <w:rPr>
          <w:rStyle w:val="SectionNumber"/>
        </w:rPr>
        <w:t xml:space="preserve">1.1</w:t>
      </w:r>
      <w:r>
        <w:tab/>
      </w:r>
      <w:r>
        <w:t xml:space="preserve">Executive Summary</w:t>
      </w:r>
    </w:p>
    <w:p>
      <w:pPr>
        <w:pStyle w:val="FirstParagraph"/>
      </w:pPr>
      <w:r>
        <w:t xml:space="preserve">The Automated Calibration Verification System represents a</w:t>
      </w:r>
      <w:r>
        <w:t xml:space="preserve"> </w:t>
      </w:r>
      <w:r>
        <w:rPr>
          <w:b/>
          <w:bCs/>
        </w:rPr>
        <w:t xml:space="preserve">transformative market opportunity</w:t>
      </w:r>
      <w:r>
        <w:t xml:space="preserve"> </w:t>
      </w:r>
      <w:r>
        <w:t xml:space="preserve">at the intersection of formal verification technology and precision instrument calibration. This strategic analysis, synthesizing 140,773 words of research across 34 files covering technical feasibility, market dynamics, system architecture, regulatory pathways, and implementation roadmaps, concludes with a</w:t>
      </w:r>
      <w:r>
        <w:t xml:space="preserve"> </w:t>
      </w:r>
      <w:r>
        <w:rPr>
          <w:b/>
          <w:bCs/>
        </w:rPr>
        <w:t xml:space="preserve">strong GO recommendation</w:t>
      </w:r>
      <w:r>
        <w:t xml:space="preserve"> </w:t>
      </w:r>
      <w:r>
        <w:t xml:space="preserve">(78/100 points).</w:t>
      </w:r>
    </w:p>
    <w:p>
      <w:pPr>
        <w:pStyle w:val="BodyText"/>
      </w:pPr>
      <w:r>
        <w:rPr>
          <w:b/>
          <w:bCs/>
        </w:rPr>
        <w:t xml:space="preserve">Core Value Proposition</w:t>
      </w:r>
      <w:r>
        <w:t xml:space="preserve">: Replace manual, error-prone calibration uncertainty validation (30-40% error rate per A2LA data) with SMT solver-based</w:t>
      </w:r>
      <w:r>
        <w:t xml:space="preserve"> </w:t>
      </w:r>
      <w:r>
        <w:rPr>
          <w:b/>
          <w:bCs/>
        </w:rPr>
        <w:t xml:space="preserve">mathematical proofs</w:t>
      </w:r>
      <w:r>
        <w:t xml:space="preserve"> </w:t>
      </w:r>
      <w:r>
        <w:t xml:space="preserve">of calibration accuracy. This shifts the paradigm from</w:t>
      </w:r>
      <w:r>
        <w:t xml:space="preserve"> </w:t>
      </w:r>
      <w:r>
        <w:t xml:space="preserve">“statistically confident”</w:t>
      </w:r>
      <w:r>
        <w:t xml:space="preserve"> </w:t>
      </w:r>
      <w:r>
        <w:t xml:space="preserve">to</w:t>
      </w:r>
      <w:r>
        <w:t xml:space="preserve"> </w:t>
      </w:r>
      <w:r>
        <w:t xml:space="preserve">“mathematically proven”</w:t>
      </w:r>
      <w:r>
        <w:t xml:space="preserve"> </w:t>
      </w:r>
      <w:r>
        <w:t xml:space="preserve">calibration, addressing critical pain points in a $1.4-2B ultra-precision market growing 15-20% annually.</w:t>
      </w:r>
    </w:p>
    <w:p>
      <w:pPr>
        <w:pStyle w:val="BodyText"/>
      </w:pPr>
      <w:r>
        <w:rPr>
          <w:b/>
          <w:bCs/>
        </w:rPr>
        <w:t xml:space="preserve">Market Timing</w:t>
      </w:r>
      <w:r>
        <w:t xml:space="preserve">: Three converging macro trends create unprecedented receptivity: (1)</w:t>
      </w:r>
      <w:r>
        <w:t xml:space="preserve"> </w:t>
      </w:r>
      <w:r>
        <w:rPr>
          <w:b/>
          <w:bCs/>
        </w:rPr>
        <w:t xml:space="preserve">99% of manufacturers adopting AI</w:t>
      </w:r>
      <w:r>
        <w:t xml:space="preserve"> </w:t>
      </w:r>
      <w:r>
        <w:t xml:space="preserve">(ETQ 2025), demonstrating comfort with algorithmic decision-making, (2)</w:t>
      </w:r>
      <w:r>
        <w:t xml:space="preserve"> </w:t>
      </w:r>
      <w:r>
        <w:rPr>
          <w:b/>
          <w:bCs/>
        </w:rPr>
        <w:t xml:space="preserve">FDA calibration citations +40%</w:t>
      </w:r>
      <w:r>
        <w:t xml:space="preserve"> </w:t>
      </w:r>
      <w:r>
        <w:t xml:space="preserve">(2015-2020), driving urgent demand for audit-proof compliance, and (3)</w:t>
      </w:r>
      <w:r>
        <w:t xml:space="preserve"> </w:t>
      </w:r>
      <w:r>
        <w:rPr>
          <w:b/>
          <w:bCs/>
        </w:rPr>
        <w:t xml:space="preserve">Industry 4.0 digital transformation</w:t>
      </w:r>
      <w:r>
        <w:t xml:space="preserve"> </w:t>
      </w:r>
      <w:r>
        <w:t xml:space="preserve">enabling IoT-connected instruments and predictive calibration.</w:t>
      </w:r>
    </w:p>
    <w:p>
      <w:pPr>
        <w:pStyle w:val="BodyText"/>
      </w:pPr>
      <w:r>
        <w:rPr>
          <w:b/>
          <w:bCs/>
        </w:rPr>
        <w:t xml:space="preserve">Competitive Moat</w:t>
      </w:r>
      <w:r>
        <w:t xml:space="preserve">: Exhaustive competitive analysis reveals</w:t>
      </w:r>
      <w:r>
        <w:t xml:space="preserve"> </w:t>
      </w:r>
      <w:r>
        <w:rPr>
          <w:b/>
          <w:bCs/>
        </w:rPr>
        <w:t xml:space="preserve">zero direct competitors</w:t>
      </w:r>
      <w:r>
        <w:t xml:space="preserve"> </w:t>
      </w:r>
      <w:r>
        <w:t xml:space="preserve">offering formal mathematical verification. Market leaders (Fluke, Keysight, Beamex) rely exclusively on statistical methods and manual expert review. Hupyy’s SMT solver expertise + SRS metrology partnership creates a 2-3 year technical lead with potential for regulatory moat if ISO 17025 accreditation achieved (Month 15-19 timeline).</w:t>
      </w:r>
    </w:p>
    <w:p>
      <w:pPr>
        <w:pStyle w:val="BodyText"/>
      </w:pPr>
      <w:r>
        <w:rPr>
          <w:b/>
          <w:bCs/>
        </w:rPr>
        <w:t xml:space="preserve">Financial Viability</w:t>
      </w:r>
      <w:r>
        <w:t xml:space="preserve">: $830K investment across 16-month phased implementation targeting $29-45M Year 5 revenue (</w:t>
      </w:r>
      <w:r>
        <w:rPr>
          <w:b/>
          <w:bCs/>
        </w:rPr>
        <w:t xml:space="preserve">35:1 to 54:1 ROI</w:t>
      </w:r>
      <w:r>
        <w:t xml:space="preserve">). Conservative revenue model: per-instrument licenses ($10K-50K), annual maintenance ($2K-10K), OEM integration fees ($500K-2M), with recurring revenue mix improving from 30% (Year 1) to 65% (Year 5).</w:t>
      </w:r>
    </w:p>
    <w:p>
      <w:pPr>
        <w:pStyle w:val="BodyText"/>
      </w:pPr>
      <w:r>
        <w:rPr>
          <w:b/>
          <w:bCs/>
        </w:rPr>
        <w:t xml:space="preserve">Risk-Mitigated Execution</w:t>
      </w:r>
      <w:r>
        <w:t xml:space="preserve">: Three-phase roadmap (FS725 pilot 6M, multi-instrument expansion 4M, commercial launch 6M) with 5 go/no-go gates, front-loaded validation (Phase 1 = 30% budget validates core technology), and strong anchor partnership (SRS provides metrology expertise, test equipment, validation facilities).</w:t>
      </w:r>
    </w:p>
    <w:p>
      <w:pPr>
        <w:pStyle w:val="BodyText"/>
      </w:pPr>
      <w:r>
        <w:rPr>
          <w:b/>
          <w:bCs/>
        </w:rPr>
        <w:t xml:space="preserve">Recommendation</w:t>
      </w:r>
      <w:r>
        <w:t xml:space="preserve">:</w:t>
      </w:r>
      <w:r>
        <w:t xml:space="preserve"> </w:t>
      </w:r>
      <w:r>
        <w:rPr>
          <w:b/>
          <w:bCs/>
        </w:rPr>
        <w:t xml:space="preserve">Proceed immediately</w:t>
      </w:r>
      <w:r>
        <w:t xml:space="preserve"> </w:t>
      </w:r>
      <w:r>
        <w:t xml:space="preserve">with Phase 1 pilot, contingent on SRS partnership execution and Month 2 architecture validation (SMT solver performance &lt; 30 min, uncertainty budget achievable ≤ 2× manual method).</w:t>
      </w:r>
    </w:p>
    <w:p>
      <w:r>
        <w:pict>
          <v:rect style="width:0;height:1.5pt" o:hralign="center" o:hrstd="t" o:hr="t"/>
        </w:pict>
      </w:r>
    </w:p>
    <w:bookmarkEnd w:id="9"/>
    <w:bookmarkStart w:id="13" w:name="market-opportunity-analysis"/>
    <w:p>
      <w:pPr>
        <w:pStyle w:val="Heading2"/>
      </w:pPr>
      <w:r>
        <w:rPr>
          <w:rStyle w:val="SectionNumber"/>
        </w:rPr>
        <w:t xml:space="preserve">1.2</w:t>
      </w:r>
      <w:r>
        <w:tab/>
      </w:r>
      <w:r>
        <w:t xml:space="preserve">Market Opportunity Analysis</w:t>
      </w:r>
    </w:p>
    <w:bookmarkStart w:id="10" w:name="market-sizing-and-growth"/>
    <w:p>
      <w:pPr>
        <w:pStyle w:val="Heading3"/>
      </w:pPr>
      <w:r>
        <w:rPr>
          <w:rStyle w:val="SectionNumber"/>
        </w:rPr>
        <w:t xml:space="preserve">1.2.1</w:t>
      </w:r>
      <w:r>
        <w:tab/>
      </w:r>
      <w:r>
        <w:t xml:space="preserve">Market Sizing and Growth</w:t>
      </w:r>
    </w:p>
    <w:p>
      <w:pPr>
        <w:pStyle w:val="FirstParagraph"/>
      </w:pPr>
      <w:r>
        <w:rPr>
          <w:b/>
          <w:bCs/>
        </w:rPr>
        <w:t xml:space="preserve">Total Addressable Market (TAM)</w:t>
      </w:r>
      <w:r>
        <w:t xml:space="preserve">:</w:t>
      </w:r>
      <w:r>
        <w:t xml:space="preserve"> </w:t>
      </w:r>
      <w:r>
        <w:t xml:space="preserve">- Global calibration services:</w:t>
      </w:r>
      <w:r>
        <w:t xml:space="preserve"> </w:t>
      </w:r>
      <w:r>
        <w:rPr>
          <w:b/>
          <w:bCs/>
        </w:rPr>
        <w:t xml:space="preserve">$5.3B (2023) → $7.9B (2030)</w:t>
      </w:r>
      <w:r>
        <w:t xml:space="preserve"> </w:t>
      </w:r>
      <w:r>
        <w:t xml:space="preserve">at 5.9% CAGR (MarketsandMarkets 2025)</w:t>
      </w:r>
      <w:r>
        <w:t xml:space="preserve"> </w:t>
      </w:r>
      <w:r>
        <w:t xml:space="preserve">- Calibration automation software: ~35% of services market =</w:t>
      </w:r>
      <w:r>
        <w:t xml:space="preserve"> </w:t>
      </w:r>
      <w:r>
        <w:rPr>
          <w:b/>
          <w:bCs/>
        </w:rPr>
        <w:t xml:space="preserve">$1.9B (2023) → $2.8B (2030)</w:t>
      </w:r>
      <w:r>
        <w:t xml:space="preserve"> </w:t>
      </w:r>
      <w:r>
        <w:t xml:space="preserve">- With Industry 4.0/AI trends:</w:t>
      </w:r>
      <w:r>
        <w:t xml:space="preserve"> </w:t>
      </w:r>
      <w:r>
        <w:rPr>
          <w:b/>
          <w:bCs/>
        </w:rPr>
        <w:t xml:space="preserve">+2-3% additional CAGR</w:t>
      </w:r>
      <w:r>
        <w:t xml:space="preserve"> </w:t>
      </w:r>
      <w:r>
        <w:t xml:space="preserve">→ 7-9% total TAM growth</w:t>
      </w:r>
    </w:p>
    <w:p>
      <w:pPr>
        <w:pStyle w:val="BodyText"/>
      </w:pPr>
      <w:r>
        <w:rPr>
          <w:b/>
          <w:bCs/>
        </w:rPr>
        <w:t xml:space="preserve">Serviceable Addressable Market (SAM)</w:t>
      </w:r>
      <w:r>
        <w:t xml:space="preserve">:</w:t>
      </w:r>
      <w:r>
        <w:t xml:space="preserve"> </w:t>
      </w:r>
      <w:r>
        <w:t xml:space="preserve">- Ultra-precision calibration automation (sub-100 ppm accuracy requirements):</w:t>
      </w:r>
      <w:r>
        <w:t xml:space="preserve"> </w:t>
      </w:r>
      <w:r>
        <w:rPr>
          <w:b/>
          <w:bCs/>
        </w:rPr>
        <w:t xml:space="preserve">$1.4-2.0B annually</w:t>
      </w:r>
      <w:r>
        <w:t xml:space="preserve"> </w:t>
      </w:r>
      <w:r>
        <w:t xml:space="preserve">- Formal verification addressable (ultra-precision + regulated industries):</w:t>
      </w:r>
      <w:r>
        <w:t xml:space="preserve"> </w:t>
      </w:r>
      <w:r>
        <w:rPr>
          <w:b/>
          <w:bCs/>
        </w:rPr>
        <w:t xml:space="preserve">$800M-1.2B</w:t>
      </w:r>
      <w:r>
        <w:t xml:space="preserve"> </w:t>
      </w:r>
      <w:r>
        <w:t xml:space="preserve">- Key segments:</w:t>
      </w:r>
      <w:r>
        <w:t xml:space="preserve"> </w:t>
      </w:r>
      <w:r>
        <w:t xml:space="preserve">- OEM precision instrument manufacturers: 25% (~$350-500M)</w:t>
      </w:r>
      <w:r>
        <w:t xml:space="preserve"> </w:t>
      </w:r>
      <w:r>
        <w:t xml:space="preserve">- Accredited metrology laboratories: 30% (~$420-600M)</w:t>
      </w:r>
      <w:r>
        <w:t xml:space="preserve"> </w:t>
      </w:r>
      <w:r>
        <w:t xml:space="preserve">- Manufacturing QC departments (pharma, aerospace, semiconductor): 25% (~$350-500M)</w:t>
      </w:r>
      <w:r>
        <w:t xml:space="preserve"> </w:t>
      </w:r>
      <w:r>
        <w:t xml:space="preserve">- Calibration service providers: 15% (~$210-300M)</w:t>
      </w:r>
      <w:r>
        <w:t xml:space="preserve"> </w:t>
      </w:r>
      <w:r>
        <w:t xml:space="preserve">- Contract manufacturing organizations: 5% (~$70-100M)</w:t>
      </w:r>
    </w:p>
    <w:p>
      <w:pPr>
        <w:pStyle w:val="BodyText"/>
      </w:pPr>
      <w:r>
        <w:rPr>
          <w:b/>
          <w:bCs/>
        </w:rPr>
        <w:t xml:space="preserve">Serviceable Obtainable Market (SOM)</w:t>
      </w:r>
      <w:r>
        <w:t xml:space="preserve"> </w:t>
      </w:r>
      <w:r>
        <w:t xml:space="preserve">(5-year horizon):</w:t>
      </w:r>
      <w:r>
        <w:t xml:space="preserve"> </w:t>
      </w:r>
      <w:r>
        <w:t xml:space="preserve">- Year 1-2: 2-3% penetration =</w:t>
      </w:r>
      <w:r>
        <w:t xml:space="preserve"> </w:t>
      </w:r>
      <w:r>
        <w:rPr>
          <w:b/>
          <w:bCs/>
        </w:rPr>
        <w:t xml:space="preserve">$16-36M cumulative</w:t>
      </w:r>
      <w:r>
        <w:t xml:space="preserve"> </w:t>
      </w:r>
      <w:r>
        <w:t xml:space="preserve">- Year 5: 10-15% penetration =</w:t>
      </w:r>
      <w:r>
        <w:t xml:space="preserve"> </w:t>
      </w:r>
      <w:r>
        <w:rPr>
          <w:b/>
          <w:bCs/>
        </w:rPr>
        <w:t xml:space="preserve">$80-180M cumulative</w:t>
      </w:r>
      <w:r>
        <w:t xml:space="preserve"> </w:t>
      </w:r>
      <w:r>
        <w:t xml:space="preserve">- Conservative SOM estimate:</w:t>
      </w:r>
      <w:r>
        <w:t xml:space="preserve"> </w:t>
      </w:r>
      <w:r>
        <w:rPr>
          <w:b/>
          <w:bCs/>
        </w:rPr>
        <w:t xml:space="preserve">$100-150M over 5 years</w:t>
      </w:r>
      <w:r>
        <w:t xml:space="preserve"> </w:t>
      </w:r>
      <w:r>
        <w:t xml:space="preserve">- Growth accelerators: Ultra-precision segment growing</w:t>
      </w:r>
      <w:r>
        <w:t xml:space="preserve"> </w:t>
      </w:r>
      <w:r>
        <w:rPr>
          <w:b/>
          <w:bCs/>
        </w:rPr>
        <w:t xml:space="preserve">15-20% CAGR</w:t>
      </w:r>
      <w:r>
        <w:t xml:space="preserve"> </w:t>
      </w:r>
      <w:r>
        <w:t xml:space="preserve">(faster than overall market due to semiconductor node shrinkage, pharmaceutical biologics, quantum computing emergence)</w:t>
      </w:r>
    </w:p>
    <w:bookmarkEnd w:id="10"/>
    <w:bookmarkStart w:id="11" w:name="X74493137e93f085be8336c98e74e3cadf6ab47c"/>
    <w:p>
      <w:pPr>
        <w:pStyle w:val="Heading3"/>
      </w:pPr>
      <w:r>
        <w:rPr>
          <w:rStyle w:val="SectionNumber"/>
        </w:rPr>
        <w:t xml:space="preserve">1.2.2</w:t>
      </w:r>
      <w:r>
        <w:tab/>
      </w:r>
      <w:r>
        <w:t xml:space="preserve">Customer Pain Points and Willingness to Pay</w:t>
      </w:r>
    </w:p>
    <w:p>
      <w:pPr>
        <w:pStyle w:val="FirstParagraph"/>
      </w:pPr>
      <w:r>
        <w:rPr>
          <w:b/>
          <w:bCs/>
        </w:rPr>
        <w:t xml:space="preserve">Critical Pain #1: Manual Uncertainty Validation</w:t>
      </w:r>
      <w:r>
        <w:t xml:space="preserve"> </w:t>
      </w:r>
      <w:r>
        <w:t xml:space="preserve">(90%+ of SAM)</w:t>
      </w:r>
      <w:r>
        <w:t xml:space="preserve"> </w:t>
      </w:r>
      <w:r>
        <w:t xml:space="preserve">-</w:t>
      </w:r>
      <w:r>
        <w:t xml:space="preserve"> </w:t>
      </w:r>
      <w:r>
        <w:rPr>
          <w:b/>
          <w:bCs/>
        </w:rPr>
        <w:t xml:space="preserve">Problem</w:t>
      </w:r>
      <w:r>
        <w:t xml:space="preserve">: A2LA reports</w:t>
      </w:r>
      <w:r>
        <w:t xml:space="preserve"> </w:t>
      </w:r>
      <w:r>
        <w:rPr>
          <w:b/>
          <w:bCs/>
        </w:rPr>
        <w:t xml:space="preserve">30-40% of calibration certificates contain measurement uncertainty errors</w:t>
      </w:r>
      <w:r>
        <w:t xml:space="preserve"> </w:t>
      </w:r>
      <w:r>
        <w:t xml:space="preserve">-</w:t>
      </w:r>
      <w:r>
        <w:t xml:space="preserve"> </w:t>
      </w:r>
      <w:r>
        <w:rPr>
          <w:b/>
          <w:bCs/>
        </w:rPr>
        <w:t xml:space="preserve">Root Cause</w:t>
      </w:r>
      <w:r>
        <w:t xml:space="preserve">: Manual GUM-based uncertainty budgets prone to:</w:t>
      </w:r>
      <w:r>
        <w:t xml:space="preserve"> </w:t>
      </w:r>
      <w:r>
        <w:t xml:space="preserve">- Missing uncertainty contributors (no automated completeness check)</w:t>
      </w:r>
      <w:r>
        <w:t xml:space="preserve"> </w:t>
      </w:r>
      <w:r>
        <w:t xml:space="preserve">- Incorrect propagation equations for non-linear measurements</w:t>
      </w:r>
      <w:r>
        <w:t xml:space="preserve"> </w:t>
      </w:r>
      <w:r>
        <w:t xml:space="preserve">- Human calculation errors (significant figures, unit conversions)</w:t>
      </w:r>
      <w:r>
        <w:t xml:space="preserve"> </w:t>
      </w:r>
      <w:r>
        <w:t xml:space="preserve">- Subjective judgment in Type B uncertainty quantification</w:t>
      </w:r>
      <w:r>
        <w:t xml:space="preserve"> </w:t>
      </w:r>
      <w:r>
        <w:t xml:space="preserve">-</w:t>
      </w:r>
      <w:r>
        <w:t xml:space="preserve"> </w:t>
      </w:r>
      <w:r>
        <w:rPr>
          <w:b/>
          <w:bCs/>
        </w:rPr>
        <w:t xml:space="preserve">Current Cost</w:t>
      </w:r>
      <w:r>
        <w:t xml:space="preserve">: Senior metrologist review (2-4 hours @ $100-150/hour =</w:t>
      </w:r>
      <w:r>
        <w:t xml:space="preserve"> </w:t>
      </w:r>
      <w:r>
        <w:rPr>
          <w:b/>
          <w:bCs/>
        </w:rPr>
        <w:t xml:space="preserve">$200-600 per calibration</w:t>
      </w:r>
      <w:r>
        <w:t xml:space="preserve">)</w:t>
      </w:r>
      <w:r>
        <w:t xml:space="preserve"> </w:t>
      </w:r>
      <w:r>
        <w:t xml:space="preserve">-</w:t>
      </w:r>
      <w:r>
        <w:t xml:space="preserve"> </w:t>
      </w:r>
      <w:r>
        <w:rPr>
          <w:b/>
          <w:bCs/>
        </w:rPr>
        <w:t xml:space="preserve">Hupyy Solution</w:t>
      </w:r>
      <w:r>
        <w:t xml:space="preserve">: Automated formal verification in &lt; 1 minute with mathematical proof of correctness</w:t>
      </w:r>
      <w:r>
        <w:t xml:space="preserve"> </w:t>
      </w:r>
      <w:r>
        <w:t xml:space="preserve">-</w:t>
      </w:r>
      <w:r>
        <w:t xml:space="preserve"> </w:t>
      </w:r>
      <w:r>
        <w:rPr>
          <w:b/>
          <w:bCs/>
        </w:rPr>
        <w:t xml:space="preserve">ROI</w:t>
      </w:r>
      <w:r>
        <w:t xml:space="preserve">:</w:t>
      </w:r>
      <w:r>
        <w:t xml:space="preserve"> </w:t>
      </w:r>
      <w:r>
        <w:rPr>
          <w:b/>
          <w:bCs/>
        </w:rPr>
        <w:t xml:space="preserve">4:1 to 60:1</w:t>
      </w:r>
      <w:r>
        <w:t xml:space="preserve"> </w:t>
      </w:r>
      <w:r>
        <w:t xml:space="preserve">on review time alone, plus error prevention value (avoid audit findings, customer disputes)</w:t>
      </w:r>
    </w:p>
    <w:p>
      <w:pPr>
        <w:pStyle w:val="BodyText"/>
      </w:pPr>
      <w:r>
        <w:rPr>
          <w:b/>
          <w:bCs/>
        </w:rPr>
        <w:t xml:space="preserve">Critical Pain #2: Regulatory Compliance and Audit Risk</w:t>
      </w:r>
      <w:r>
        <w:t xml:space="preserve"> </w:t>
      </w:r>
      <w:r>
        <w:t xml:space="preserve">(80%+ of regulated industries)</w:t>
      </w:r>
      <w:r>
        <w:t xml:space="preserve"> </w:t>
      </w:r>
      <w:r>
        <w:t xml:space="preserve">-</w:t>
      </w:r>
      <w:r>
        <w:t xml:space="preserve"> </w:t>
      </w:r>
      <w:r>
        <w:rPr>
          <w:b/>
          <w:bCs/>
        </w:rPr>
        <w:t xml:space="preserve">Problem</w:t>
      </w:r>
      <w:r>
        <w:t xml:space="preserve">:</w:t>
      </w:r>
      <w:r>
        <w:t xml:space="preserve"> </w:t>
      </w:r>
      <w:r>
        <w:rPr>
          <w:b/>
          <w:bCs/>
        </w:rPr>
        <w:t xml:space="preserve">FDA issued 500+ calibration citations (2015-2020), +40% increase</w:t>
      </w:r>
      <w:r>
        <w:t xml:space="preserve"> </w:t>
      </w:r>
      <w:r>
        <w:t xml:space="preserve">-</w:t>
      </w:r>
      <w:r>
        <w:t xml:space="preserve"> </w:t>
      </w:r>
      <w:r>
        <w:rPr>
          <w:b/>
          <w:bCs/>
        </w:rPr>
        <w:t xml:space="preserve">Consequences</w:t>
      </w:r>
      <w:r>
        <w:t xml:space="preserve">: Warning letters (</w:t>
      </w:r>
      <m:oMath>
        <m:r>
          <m:t>500</m:t>
        </m:r>
        <m:r>
          <m:t>K</m:t>
        </m:r>
        <m:r>
          <m:rPr>
            <m:sty m:val="p"/>
          </m:rPr>
          <m:t>−</m:t>
        </m:r>
        <m:r>
          <m:t>2</m:t>
        </m:r>
        <m:r>
          <m:t>M</m:t>
        </m:r>
        <m:r>
          <m:t>r</m:t>
        </m:r>
        <m:r>
          <m:t>e</m:t>
        </m:r>
        <m:r>
          <m:t>s</m:t>
        </m:r>
        <m:r>
          <m:t>p</m:t>
        </m:r>
        <m:r>
          <m:t>o</m:t>
        </m:r>
        <m:r>
          <m:t>n</m:t>
        </m:r>
        <m:r>
          <m:t>s</m:t>
        </m:r>
        <m:r>
          <m:t>e</m:t>
        </m:r>
        <m:r>
          <m:t>c</m:t>
        </m:r>
        <m:r>
          <m:t>o</m:t>
        </m:r>
        <m:r>
          <m:t>s</m:t>
        </m:r>
        <m:r>
          <m:t>t</m:t>
        </m:r>
        <m:r>
          <m:t>s</m:t>
        </m:r>
        <m:r>
          <m:rPr>
            <m:sty m:val="p"/>
          </m:rPr>
          <m:t>)</m:t>
        </m:r>
        <m:r>
          <m:rPr>
            <m:sty m:val="p"/>
          </m:rPr>
          <m:t>,</m:t>
        </m:r>
        <m:r>
          <m:t>p</m:t>
        </m:r>
        <m:r>
          <m:t>r</m:t>
        </m:r>
        <m:r>
          <m:t>o</m:t>
        </m:r>
        <m:r>
          <m:t>d</m:t>
        </m:r>
        <m:r>
          <m:t>u</m:t>
        </m:r>
        <m:r>
          <m:t>c</m:t>
        </m:r>
        <m:r>
          <m:t>t</m:t>
        </m:r>
        <m:r>
          <m:t>r</m:t>
        </m:r>
        <m:r>
          <m:t>e</m:t>
        </m:r>
        <m:r>
          <m:t>c</m:t>
        </m:r>
        <m:r>
          <m:t>a</m:t>
        </m:r>
        <m:r>
          <m:t>l</m:t>
        </m:r>
        <m:r>
          <m:t>l</m:t>
        </m:r>
        <m:r>
          <m:t>s</m:t>
        </m:r>
        <m:r>
          <m:rPr>
            <m:sty m:val="p"/>
          </m:rPr>
          <m:t>(</m:t>
        </m:r>
      </m:oMath>
      <w:r>
        <w:t xml:space="preserve">millions), manufacturing shutdowns</w:t>
      </w:r>
      <w:r>
        <w:t xml:space="preserve"> </w:t>
      </w:r>
      <w:r>
        <w:t xml:space="preserve">-</w:t>
      </w:r>
      <w:r>
        <w:t xml:space="preserve"> </w:t>
      </w:r>
      <w:r>
        <w:rPr>
          <w:b/>
          <w:bCs/>
        </w:rPr>
        <w:t xml:space="preserve">Regulatory Drivers</w:t>
      </w:r>
      <w:r>
        <w:t xml:space="preserve">:</w:t>
      </w:r>
      <w:r>
        <w:t xml:space="preserve"> </w:t>
      </w:r>
      <w:r>
        <w:t xml:space="preserve">- FDA 21 CFR Part 11/820 (electronic records, medical device calibration)</w:t>
      </w:r>
      <w:r>
        <w:t xml:space="preserve"> </w:t>
      </w:r>
      <w:r>
        <w:t xml:space="preserve">- ISO/IEC 17025:2017 (updated traceability requirements)</w:t>
      </w:r>
      <w:r>
        <w:t xml:space="preserve"> </w:t>
      </w:r>
      <w:r>
        <w:t xml:space="preserve">- ILAC P14:09/2020 (tightened uncertainty statement policies)</w:t>
      </w:r>
      <w:r>
        <w:t xml:space="preserve"> </w:t>
      </w:r>
      <w:r>
        <w:t xml:space="preserve">-</w:t>
      </w:r>
      <w:r>
        <w:t xml:space="preserve"> </w:t>
      </w:r>
      <w:r>
        <w:rPr>
          <w:b/>
          <w:bCs/>
        </w:rPr>
        <w:t xml:space="preserve">Current Workaround</w:t>
      </w:r>
      <w:r>
        <w:t xml:space="preserve">: Over-calibration (more frequent than necessary), external accredited labs (expensive), extensive manual documentation</w:t>
      </w:r>
      <w:r>
        <w:t xml:space="preserve"> </w:t>
      </w:r>
      <w:r>
        <w:t xml:space="preserve">-</w:t>
      </w:r>
      <w:r>
        <w:t xml:space="preserve"> </w:t>
      </w:r>
      <w:r>
        <w:rPr>
          <w:b/>
          <w:bCs/>
        </w:rPr>
        <w:t xml:space="preserve">Hupyy Solution</w:t>
      </w:r>
      <w:r>
        <w:t xml:space="preserve">: Mathematical proofs provide</w:t>
      </w:r>
      <w:r>
        <w:t xml:space="preserve"> </w:t>
      </w:r>
      <w:r>
        <w:rPr>
          <w:b/>
          <w:bCs/>
        </w:rPr>
        <w:t xml:space="preserve">strongest possible audit defense</w:t>
      </w:r>
      <w:r>
        <w:t xml:space="preserve"> </w:t>
      </w:r>
      <w:r>
        <w:t xml:space="preserve">(</w:t>
      </w:r>
      <w:r>
        <w:t xml:space="preserve">“provably correct”</w:t>
      </w:r>
      <w:r>
        <w:t xml:space="preserve"> </w:t>
      </w:r>
      <w:r>
        <w:t xml:space="preserve">vs. </w:t>
      </w:r>
      <w:r>
        <w:t xml:space="preserve">“expert reviewed”</w:t>
      </w:r>
      <w:r>
        <w:t xml:space="preserve">)</w:t>
      </w:r>
      <w:r>
        <w:t xml:space="preserve"> </w:t>
      </w:r>
      <w:r>
        <w:t xml:space="preserve">-</w:t>
      </w:r>
      <w:r>
        <w:t xml:space="preserve"> </w:t>
      </w:r>
      <w:r>
        <w:rPr>
          <w:b/>
          <w:bCs/>
        </w:rPr>
        <w:t xml:space="preserve">Value</w:t>
      </w:r>
      <w:r>
        <w:t xml:space="preserve">: Insurance against multi-million dollar non-compliance costs</w:t>
      </w:r>
    </w:p>
    <w:p>
      <w:pPr>
        <w:pStyle w:val="BodyText"/>
      </w:pPr>
      <w:r>
        <w:rPr>
          <w:b/>
          <w:bCs/>
        </w:rPr>
        <w:t xml:space="preserve">High Pain #3: Technical Staff Shortage and Expertise Gap</w:t>
      </w:r>
      <w:r>
        <w:t xml:space="preserve"> </w:t>
      </w:r>
      <w:r>
        <w:t xml:space="preserve">(75%+ of labs)</w:t>
      </w:r>
      <w:r>
        <w:t xml:space="preserve"> </w:t>
      </w:r>
      <w:r>
        <w:t xml:space="preserve">-</w:t>
      </w:r>
      <w:r>
        <w:t xml:space="preserve"> </w:t>
      </w:r>
      <w:r>
        <w:rPr>
          <w:b/>
          <w:bCs/>
        </w:rPr>
        <w:t xml:space="preserve">Problem</w:t>
      </w:r>
      <w:r>
        <w:t xml:space="preserve">: Aging metrologist workforce, 2-5 year training timeline, industry-wide shortage of qualified technicians</w:t>
      </w:r>
      <w:r>
        <w:t xml:space="preserve"> </w:t>
      </w:r>
      <w:r>
        <w:t xml:space="preserve">-</w:t>
      </w:r>
      <w:r>
        <w:t xml:space="preserve"> </w:t>
      </w:r>
      <w:r>
        <w:rPr>
          <w:b/>
          <w:bCs/>
        </w:rPr>
        <w:t xml:space="preserve">Impact</w:t>
      </w:r>
      <w:r>
        <w:t xml:space="preserve">: Labor cost inflation (15-25% premium), growth bottlenecks (cannot scale without headcount), knowledge loss when seniors retire</w:t>
      </w:r>
      <w:r>
        <w:t xml:space="preserve"> </w:t>
      </w:r>
      <w:r>
        <w:t xml:space="preserve">-</w:t>
      </w:r>
      <w:r>
        <w:t xml:space="preserve"> </w:t>
      </w:r>
      <w:r>
        <w:rPr>
          <w:b/>
          <w:bCs/>
        </w:rPr>
        <w:t xml:space="preserve">Current Workaround</w:t>
      </w:r>
      <w:r>
        <w:t xml:space="preserve">: High salaries to retain experts, limited service offerings, apprenticeship programs (expensive, slow)</w:t>
      </w:r>
      <w:r>
        <w:t xml:space="preserve"> </w:t>
      </w:r>
      <w:r>
        <w:t xml:space="preserve">-</w:t>
      </w:r>
      <w:r>
        <w:t xml:space="preserve"> </w:t>
      </w:r>
      <w:r>
        <w:rPr>
          <w:b/>
          <w:bCs/>
        </w:rPr>
        <w:t xml:space="preserve">Hupyy Solution</w:t>
      </w:r>
      <w:r>
        <w:t xml:space="preserve">:</w:t>
      </w:r>
      <w:r>
        <w:t xml:space="preserve"> </w:t>
      </w:r>
      <w:r>
        <w:rPr>
          <w:b/>
          <w:bCs/>
        </w:rPr>
        <w:t xml:space="preserve">Formal verification enables junior technicians to perform senior-level work</w:t>
      </w:r>
      <w:r>
        <w:t xml:space="preserve"> </w:t>
      </w:r>
      <w:r>
        <w:t xml:space="preserve">with automated expert validation</w:t>
      </w:r>
      <w:r>
        <w:t xml:space="preserve"> </w:t>
      </w:r>
      <w:r>
        <w:t xml:space="preserve">-</w:t>
      </w:r>
      <w:r>
        <w:t xml:space="preserve"> </w:t>
      </w:r>
      <w:r>
        <w:rPr>
          <w:b/>
          <w:bCs/>
        </w:rPr>
        <w:t xml:space="preserve">Value</w:t>
      </w:r>
      <w:r>
        <w:t xml:space="preserve">: $50K software investment replaces $100-150K/year expert review time, captures tribal knowledge in algorithms</w:t>
      </w:r>
    </w:p>
    <w:p>
      <w:pPr>
        <w:pStyle w:val="BodyText"/>
      </w:pPr>
      <w:r>
        <w:rPr>
          <w:b/>
          <w:bCs/>
        </w:rPr>
        <w:t xml:space="preserve">Medium-High Pain #4: Competitive Differentiation</w:t>
      </w:r>
      <w:r>
        <w:t xml:space="preserve"> </w:t>
      </w:r>
      <w:r>
        <w:t xml:space="preserve">(70%+ of OEMs and service providers)</w:t>
      </w:r>
      <w:r>
        <w:t xml:space="preserve"> </w:t>
      </w:r>
      <w:r>
        <w:t xml:space="preserve">-</w:t>
      </w:r>
      <w:r>
        <w:t xml:space="preserve"> </w:t>
      </w:r>
      <w:r>
        <w:rPr>
          <w:b/>
          <w:bCs/>
        </w:rPr>
        <w:t xml:space="preserve">OEM Context</w:t>
      </w:r>
      <w:r>
        <w:t xml:space="preserve">: Ultra-precision instrument manufacturers compete on accuracy specifications (ppm-level); calibration capability is key differentiator</w:t>
      </w:r>
      <w:r>
        <w:t xml:space="preserve"> </w:t>
      </w:r>
      <w:r>
        <w:t xml:space="preserve">-</w:t>
      </w:r>
      <w:r>
        <w:t xml:space="preserve"> </w:t>
      </w:r>
      <w:r>
        <w:rPr>
          <w:b/>
          <w:bCs/>
        </w:rPr>
        <w:t xml:space="preserve">Service Provider Context</w:t>
      </w:r>
      <w:r>
        <w:t xml:space="preserve">: Calibration services commoditized with price pressure; premium pricing requires demonstrable technical superiority</w:t>
      </w:r>
      <w:r>
        <w:t xml:space="preserve"> </w:t>
      </w:r>
      <w:r>
        <w:t xml:space="preserve">-</w:t>
      </w:r>
      <w:r>
        <w:t xml:space="preserve"> </w:t>
      </w:r>
      <w:r>
        <w:rPr>
          <w:b/>
          <w:bCs/>
        </w:rPr>
        <w:t xml:space="preserve">Hupyy Solution</w:t>
      </w:r>
      <w:r>
        <w:t xml:space="preserve">:</w:t>
      </w:r>
      <w:r>
        <w:t xml:space="preserve"> </w:t>
      </w:r>
      <w:r>
        <w:t xml:space="preserve">“</w:t>
      </w:r>
      <w:r>
        <w:rPr>
          <w:b/>
          <w:bCs/>
        </w:rPr>
        <w:t xml:space="preserve">Mathematically Verified Calibration</w:t>
      </w:r>
      <w:r>
        <w:t xml:space="preserve">”</w:t>
      </w:r>
      <w:r>
        <w:t xml:space="preserve"> </w:t>
      </w:r>
      <w:r>
        <w:t xml:space="preserve">as unique market positioning</w:t>
      </w:r>
      <w:r>
        <w:t xml:space="preserve"> </w:t>
      </w:r>
      <w:r>
        <w:t xml:space="preserve">-</w:t>
      </w:r>
      <w:r>
        <w:t xml:space="preserve"> </w:t>
      </w:r>
      <w:r>
        <w:rPr>
          <w:b/>
          <w:bCs/>
        </w:rPr>
        <w:t xml:space="preserve">Value for OEMs</w:t>
      </w:r>
      <w:r>
        <w:t xml:space="preserve">: Win rate improvement on $10M annual bids =</w:t>
      </w:r>
      <w:r>
        <w:t xml:space="preserve"> </w:t>
      </w:r>
      <w:r>
        <w:rPr>
          <w:b/>
          <w:bCs/>
        </w:rPr>
        <w:t xml:space="preserve">$1M+ incremental revenue</w:t>
      </w:r>
      <w:r>
        <w:t xml:space="preserve"> </w:t>
      </w:r>
      <w:r>
        <w:t xml:space="preserve">-</w:t>
      </w:r>
      <w:r>
        <w:t xml:space="preserve"> </w:t>
      </w:r>
      <w:r>
        <w:rPr>
          <w:b/>
          <w:bCs/>
        </w:rPr>
        <w:t xml:space="preserve">Value for Service Providers</w:t>
      </w:r>
      <w:r>
        <w:t xml:space="preserve">: Premium pricing tier (20-30% above commodity), expansion into ultra-precision markets (currently subcontracted)</w:t>
      </w:r>
    </w:p>
    <w:bookmarkEnd w:id="11"/>
    <w:bookmarkStart w:id="12" w:name="revenue-projections-and-model"/>
    <w:p>
      <w:pPr>
        <w:pStyle w:val="Heading3"/>
      </w:pPr>
      <w:r>
        <w:rPr>
          <w:rStyle w:val="SectionNumber"/>
        </w:rPr>
        <w:t xml:space="preserve">1.2.3</w:t>
      </w:r>
      <w:r>
        <w:tab/>
      </w:r>
      <w:r>
        <w:t xml:space="preserve">Revenue Projections and Model</w:t>
      </w:r>
    </w:p>
    <w:p>
      <w:pPr>
        <w:pStyle w:val="FirstParagraph"/>
      </w:pPr>
      <w:r>
        <w:rPr>
          <w:b/>
          <w:bCs/>
        </w:rPr>
        <w:t xml:space="preserve">Revenue Build-Up by Model</w:t>
      </w:r>
      <w:r>
        <w:t xml:space="preserve"> </w:t>
      </w:r>
      <w:r>
        <w:t xml:space="preserve">(Conservative Scenario):</w:t>
      </w:r>
    </w:p>
    <w:tbl>
      <w:tblPr>
        <w:tblStyle w:val="Table"/>
        <w:tblW w:type="pct" w:w="5000"/>
        <w:tblLayout w:type="fixed"/>
        <w:tblLook w:firstRow="1" w:lastRow="0" w:firstColumn="0" w:lastColumn="0" w:noHBand="0" w:noVBand="0" w:val="0020"/>
      </w:tblPr>
      <w:tblGrid>
        <w:gridCol w:w="2043"/>
        <w:gridCol w:w="1021"/>
        <w:gridCol w:w="1021"/>
        <w:gridCol w:w="1021"/>
        <w:gridCol w:w="1021"/>
        <w:gridCol w:w="1021"/>
        <w:gridCol w:w="766"/>
      </w:tblGrid>
      <w:tr>
        <w:trPr>
          <w:tblHeader w:val="on"/>
        </w:trPr>
        <w:tc>
          <w:tcPr/>
          <w:p>
            <w:pPr>
              <w:pStyle w:val="Compact"/>
            </w:pPr>
            <w:r>
              <w:t xml:space="preserve">Revenue Stream</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c>
          <w:tcPr/>
          <w:p>
            <w:pPr>
              <w:pStyle w:val="Compact"/>
            </w:pPr>
            <w:r>
              <w:t xml:space="preserve">CAGR</w:t>
            </w:r>
          </w:p>
        </w:tc>
      </w:tr>
      <w:tr>
        <w:tc>
          <w:tcPr/>
          <w:p>
            <w:pPr>
              <w:pStyle w:val="Compact"/>
            </w:pPr>
            <w:r>
              <w:rPr>
                <w:b/>
                <w:bCs/>
              </w:rPr>
              <w:t xml:space="preserve">Per-Instrument Licenses</w:t>
            </w:r>
          </w:p>
        </w:tc>
        <w:tc>
          <w:tcPr/>
          <w:p>
            <w:pPr>
              <w:pStyle w:val="Compact"/>
            </w:pPr>
            <w:r>
              <w:t xml:space="preserve">$0.5M</w:t>
            </w:r>
          </w:p>
        </w:tc>
        <w:tc>
          <w:tcPr/>
          <w:p>
            <w:pPr>
              <w:pStyle w:val="Compact"/>
            </w:pPr>
            <w:r>
              <w:t xml:space="preserve">$1.5M</w:t>
            </w:r>
          </w:p>
        </w:tc>
        <w:tc>
          <w:tcPr/>
          <w:p>
            <w:pPr>
              <w:pStyle w:val="Compact"/>
            </w:pPr>
            <w:r>
              <w:t xml:space="preserve">$3.0M</w:t>
            </w:r>
          </w:p>
        </w:tc>
        <w:tc>
          <w:tcPr/>
          <w:p>
            <w:pPr>
              <w:pStyle w:val="Compact"/>
            </w:pPr>
            <w:r>
              <w:t xml:space="preserve">$4.5M</w:t>
            </w:r>
          </w:p>
        </w:tc>
        <w:tc>
          <w:tcPr/>
          <w:p>
            <w:pPr>
              <w:pStyle w:val="Compact"/>
            </w:pPr>
            <w:r>
              <w:t xml:space="preserve">$6.0M</w:t>
            </w:r>
          </w:p>
        </w:tc>
        <w:tc>
          <w:tcPr/>
          <w:p>
            <w:pPr>
              <w:pStyle w:val="Compact"/>
            </w:pPr>
            <w:r>
              <w:t xml:space="preserve">85%</w:t>
            </w:r>
          </w:p>
        </w:tc>
      </w:tr>
      <w:tr>
        <w:tc>
          <w:tcPr/>
          <w:p>
            <w:pPr>
              <w:pStyle w:val="Compact"/>
            </w:pPr>
            <w:r>
              <w:rPr>
                <w:b/>
                <w:bCs/>
              </w:rPr>
              <w:t xml:space="preserve">Annual Maintenance</w:t>
            </w:r>
          </w:p>
        </w:tc>
        <w:tc>
          <w:tcPr/>
          <w:p>
            <w:pPr>
              <w:pStyle w:val="Compact"/>
            </w:pPr>
            <w:r>
              <w:t xml:space="preserve">$0.1M</w:t>
            </w:r>
          </w:p>
        </w:tc>
        <w:tc>
          <w:tcPr/>
          <w:p>
            <w:pPr>
              <w:pStyle w:val="Compact"/>
            </w:pPr>
            <w:r>
              <w:t xml:space="preserve">$0.5M</w:t>
            </w:r>
          </w:p>
        </w:tc>
        <w:tc>
          <w:tcPr/>
          <w:p>
            <w:pPr>
              <w:pStyle w:val="Compact"/>
            </w:pPr>
            <w:r>
              <w:t xml:space="preserve">$1.5M</w:t>
            </w:r>
          </w:p>
        </w:tc>
        <w:tc>
          <w:tcPr/>
          <w:p>
            <w:pPr>
              <w:pStyle w:val="Compact"/>
            </w:pPr>
            <w:r>
              <w:t xml:space="preserve">$3.5M</w:t>
            </w:r>
          </w:p>
        </w:tc>
        <w:tc>
          <w:tcPr/>
          <w:p>
            <w:pPr>
              <w:pStyle w:val="Compact"/>
            </w:pPr>
            <w:r>
              <w:t xml:space="preserve">$6.0M</w:t>
            </w:r>
          </w:p>
        </w:tc>
        <w:tc>
          <w:tcPr/>
          <w:p>
            <w:pPr>
              <w:pStyle w:val="Compact"/>
            </w:pPr>
            <w:r>
              <w:t xml:space="preserve">177%</w:t>
            </w:r>
          </w:p>
        </w:tc>
      </w:tr>
      <w:tr>
        <w:tc>
          <w:tcPr/>
          <w:p>
            <w:pPr>
              <w:pStyle w:val="Compact"/>
            </w:pPr>
            <w:r>
              <w:rPr>
                <w:b/>
                <w:bCs/>
              </w:rPr>
              <w:t xml:space="preserve">OEM Integration Fees</w:t>
            </w:r>
          </w:p>
        </w:tc>
        <w:tc>
          <w:tcPr/>
          <w:p>
            <w:pPr>
              <w:pStyle w:val="Compact"/>
            </w:pPr>
            <w:r>
              <w:t xml:space="preserve">$2.0M</w:t>
            </w:r>
          </w:p>
        </w:tc>
        <w:tc>
          <w:tcPr/>
          <w:p>
            <w:pPr>
              <w:pStyle w:val="Compact"/>
            </w:pPr>
            <w:r>
              <w:t xml:space="preserve">$3.0M</w:t>
            </w:r>
          </w:p>
        </w:tc>
        <w:tc>
          <w:tcPr/>
          <w:p>
            <w:pPr>
              <w:pStyle w:val="Compact"/>
            </w:pPr>
            <w:r>
              <w:t xml:space="preserve">$5.0M</w:t>
            </w:r>
          </w:p>
        </w:tc>
        <w:tc>
          <w:tcPr/>
          <w:p>
            <w:pPr>
              <w:pStyle w:val="Compact"/>
            </w:pPr>
            <w:r>
              <w:t xml:space="preserve">$7.0M</w:t>
            </w:r>
          </w:p>
        </w:tc>
        <w:tc>
          <w:tcPr/>
          <w:p>
            <w:pPr>
              <w:pStyle w:val="Compact"/>
            </w:pPr>
            <w:r>
              <w:t xml:space="preserve">$8.0M</w:t>
            </w:r>
          </w:p>
        </w:tc>
        <w:tc>
          <w:tcPr/>
          <w:p>
            <w:pPr>
              <w:pStyle w:val="Compact"/>
            </w:pPr>
            <w:r>
              <w:t xml:space="preserve">41%</w:t>
            </w:r>
          </w:p>
        </w:tc>
      </w:tr>
      <w:tr>
        <w:tc>
          <w:tcPr/>
          <w:p>
            <w:pPr>
              <w:pStyle w:val="Compact"/>
            </w:pPr>
            <w:r>
              <w:rPr>
                <w:b/>
                <w:bCs/>
              </w:rPr>
              <w:t xml:space="preserve">Enterprise Deployments</w:t>
            </w:r>
          </w:p>
        </w:tc>
        <w:tc>
          <w:tcPr/>
          <w:p>
            <w:pPr>
              <w:pStyle w:val="Compact"/>
            </w:pPr>
            <w:r>
              <w:t xml:space="preserve">$0.5M</w:t>
            </w:r>
          </w:p>
        </w:tc>
        <w:tc>
          <w:tcPr/>
          <w:p>
            <w:pPr>
              <w:pStyle w:val="Compact"/>
            </w:pPr>
            <w:r>
              <w:t xml:space="preserve">$1.5M</w:t>
            </w:r>
          </w:p>
        </w:tc>
        <w:tc>
          <w:tcPr/>
          <w:p>
            <w:pPr>
              <w:pStyle w:val="Compact"/>
            </w:pPr>
            <w:r>
              <w:t xml:space="preserve">$3.0M</w:t>
            </w:r>
          </w:p>
        </w:tc>
        <w:tc>
          <w:tcPr/>
          <w:p>
            <w:pPr>
              <w:pStyle w:val="Compact"/>
            </w:pPr>
            <w:r>
              <w:t xml:space="preserve">$5.0M</w:t>
            </w:r>
          </w:p>
        </w:tc>
        <w:tc>
          <w:tcPr/>
          <w:p>
            <w:pPr>
              <w:pStyle w:val="Compact"/>
            </w:pPr>
            <w:r>
              <w:t xml:space="preserve">$6.5M</w:t>
            </w:r>
          </w:p>
        </w:tc>
        <w:tc>
          <w:tcPr/>
          <w:p>
            <w:pPr>
              <w:pStyle w:val="Compact"/>
            </w:pPr>
            <w:r>
              <w:t xml:space="preserve">90%</w:t>
            </w:r>
          </w:p>
        </w:tc>
      </w:tr>
      <w:tr>
        <w:tc>
          <w:tcPr/>
          <w:p>
            <w:pPr>
              <w:pStyle w:val="Compact"/>
            </w:pPr>
            <w:r>
              <w:rPr>
                <w:b/>
                <w:bCs/>
              </w:rPr>
              <w:t xml:space="preserve">Training &amp; Services</w:t>
            </w:r>
          </w:p>
        </w:tc>
        <w:tc>
          <w:tcPr/>
          <w:p>
            <w:pPr>
              <w:pStyle w:val="Compact"/>
            </w:pPr>
            <w:r>
              <w:t xml:space="preserve">$0.2M</w:t>
            </w:r>
          </w:p>
        </w:tc>
        <w:tc>
          <w:tcPr/>
          <w:p>
            <w:pPr>
              <w:pStyle w:val="Compact"/>
            </w:pPr>
            <w:r>
              <w:t xml:space="preserve">$0.5M</w:t>
            </w:r>
          </w:p>
        </w:tc>
        <w:tc>
          <w:tcPr/>
          <w:p>
            <w:pPr>
              <w:pStyle w:val="Compact"/>
            </w:pPr>
            <w:r>
              <w:t xml:space="preserve">$1.0M</w:t>
            </w:r>
          </w:p>
        </w:tc>
        <w:tc>
          <w:tcPr/>
          <w:p>
            <w:pPr>
              <w:pStyle w:val="Compact"/>
            </w:pPr>
            <w:r>
              <w:t xml:space="preserve">$1.5M</w:t>
            </w:r>
          </w:p>
        </w:tc>
        <w:tc>
          <w:tcPr/>
          <w:p>
            <w:pPr>
              <w:pStyle w:val="Compact"/>
            </w:pPr>
            <w:r>
              <w:t xml:space="preserve">$2.5M</w:t>
            </w:r>
          </w:p>
        </w:tc>
        <w:tc>
          <w:tcPr/>
          <w:p>
            <w:pPr>
              <w:pStyle w:val="Compact"/>
            </w:pPr>
            <w:r>
              <w:t xml:space="preserve">86%</w:t>
            </w:r>
          </w:p>
        </w:tc>
      </w:tr>
      <w:tr>
        <w:tc>
          <w:tcPr/>
          <w:p>
            <w:pPr>
              <w:pStyle w:val="Compact"/>
            </w:pPr>
            <w:r>
              <w:rPr>
                <w:b/>
                <w:bCs/>
              </w:rPr>
              <w:t xml:space="preserve">TOTAL REVENUE</w:t>
            </w:r>
          </w:p>
        </w:tc>
        <w:tc>
          <w:tcPr/>
          <w:p>
            <w:pPr>
              <w:pStyle w:val="Compact"/>
            </w:pPr>
            <w:r>
              <w:rPr>
                <w:b/>
                <w:bCs/>
              </w:rPr>
              <w:t xml:space="preserve">$3.3M</w:t>
            </w:r>
          </w:p>
        </w:tc>
        <w:tc>
          <w:tcPr/>
          <w:p>
            <w:pPr>
              <w:pStyle w:val="Compact"/>
            </w:pPr>
            <w:r>
              <w:rPr>
                <w:b/>
                <w:bCs/>
              </w:rPr>
              <w:t xml:space="preserve">$7.0M</w:t>
            </w:r>
          </w:p>
        </w:tc>
        <w:tc>
          <w:tcPr/>
          <w:p>
            <w:pPr>
              <w:pStyle w:val="Compact"/>
            </w:pPr>
            <w:r>
              <w:rPr>
                <w:b/>
                <w:bCs/>
              </w:rPr>
              <w:t xml:space="preserve">$13.5M</w:t>
            </w:r>
          </w:p>
        </w:tc>
        <w:tc>
          <w:tcPr/>
          <w:p>
            <w:pPr>
              <w:pStyle w:val="Compact"/>
            </w:pPr>
            <w:r>
              <w:rPr>
                <w:b/>
                <w:bCs/>
              </w:rPr>
              <w:t xml:space="preserve">$21.5M</w:t>
            </w:r>
          </w:p>
        </w:tc>
        <w:tc>
          <w:tcPr/>
          <w:p>
            <w:pPr>
              <w:pStyle w:val="Compact"/>
            </w:pPr>
            <w:r>
              <w:rPr>
                <w:b/>
                <w:bCs/>
              </w:rPr>
              <w:t xml:space="preserve">$29.0M</w:t>
            </w:r>
          </w:p>
        </w:tc>
        <w:tc>
          <w:tcPr/>
          <w:p>
            <w:pPr>
              <w:pStyle w:val="Compact"/>
            </w:pPr>
            <w:r>
              <w:rPr>
                <w:b/>
                <w:bCs/>
              </w:rPr>
              <w:t xml:space="preserve">72%</w:t>
            </w:r>
          </w:p>
        </w:tc>
      </w:tr>
    </w:tbl>
    <w:p>
      <w:pPr>
        <w:pStyle w:val="BodyText"/>
      </w:pPr>
      <w:r>
        <w:rPr>
          <w:b/>
          <w:bCs/>
        </w:rPr>
        <w:t xml:space="preserve">Notes</w:t>
      </w:r>
      <w:r>
        <w:t xml:space="preserve">:</w:t>
      </w:r>
      <w:r>
        <w:t xml:space="preserve"> </w:t>
      </w:r>
      <w:r>
        <w:t xml:space="preserve">- Year 1 OEM revenue reflects SRS partnership integration fee ($2M upfront)</w:t>
      </w:r>
      <w:r>
        <w:t xml:space="preserve"> </w:t>
      </w:r>
      <w:r>
        <w:t xml:space="preserve">- Maintenance revenue compounds as installed base expands (177% CAGR demonstrates recurring revenue growth)</w:t>
      </w:r>
      <w:r>
        <w:t xml:space="preserve"> </w:t>
      </w:r>
      <w:r>
        <w:t xml:space="preserve">- Enterprise deployments accelerate Year 3+ after FDA validation and ISO 17025 accreditation</w:t>
      </w:r>
      <w:r>
        <w:t xml:space="preserve"> </w:t>
      </w:r>
      <w:r>
        <w:t xml:space="preserve">- Diversification improves over time: OEM dependency decreases from 76% (Year 1) to 50% (Year 5)</w:t>
      </w:r>
    </w:p>
    <w:p>
      <w:pPr>
        <w:pStyle w:val="BodyText"/>
      </w:pPr>
      <w:r>
        <w:rPr>
          <w:b/>
          <w:bCs/>
        </w:rPr>
        <w:t xml:space="preserve">Pricing Strategy</w:t>
      </w:r>
      <w:r>
        <w:t xml:space="preserve"> </w:t>
      </w:r>
      <w:r>
        <w:t xml:space="preserve">(Value-Based, Not Cost-Plus):</w:t>
      </w:r>
      <w:r>
        <w:t xml:space="preserve"> </w:t>
      </w:r>
      <w:r>
        <w:t xml:space="preserve">-</w:t>
      </w:r>
      <w:r>
        <w:t xml:space="preserve"> </w:t>
      </w:r>
      <w:r>
        <w:rPr>
          <w:b/>
          <w:bCs/>
        </w:rPr>
        <w:t xml:space="preserve">Per-Instrument Licenses</w:t>
      </w:r>
      <w:r>
        <w:t xml:space="preserve">: $10K-50K based on precision tier (Premium/Professional/Standard)</w:t>
      </w:r>
      <w:r>
        <w:t xml:space="preserve"> </w:t>
      </w:r>
      <w:r>
        <w:t xml:space="preserve">- Premium (&lt; 1 ppm): $40K-50K (atomic frequency standards, primary voltage standards)</w:t>
      </w:r>
      <w:r>
        <w:t xml:space="preserve"> </w:t>
      </w:r>
      <w:r>
        <w:t xml:space="preserve">- Professional (1-100 ppm): $20K-35K (precision DMMs, RF signal generators)</w:t>
      </w:r>
      <w:r>
        <w:t xml:space="preserve"> </w:t>
      </w:r>
      <w:r>
        <w:t xml:space="preserve">- Standard (100-1000 ppm): $10K-20K (general oscilloscopes, power supplies)</w:t>
      </w:r>
      <w:r>
        <w:t xml:space="preserve"> </w:t>
      </w:r>
      <w:r>
        <w:t xml:space="preserve">-</w:t>
      </w:r>
      <w:r>
        <w:t xml:space="preserve"> </w:t>
      </w:r>
      <w:r>
        <w:rPr>
          <w:b/>
          <w:bCs/>
        </w:rPr>
        <w:t xml:space="preserve">Annual Maintenance</w:t>
      </w:r>
      <w:r>
        <w:t xml:space="preserve">: $2K-10K (20-30% of license fee, industry standard)</w:t>
      </w:r>
      <w:r>
        <w:t xml:space="preserve"> </w:t>
      </w:r>
      <w:r>
        <w:t xml:space="preserve">-</w:t>
      </w:r>
      <w:r>
        <w:t xml:space="preserve"> </w:t>
      </w:r>
      <w:r>
        <w:rPr>
          <w:b/>
          <w:bCs/>
        </w:rPr>
        <w:t xml:space="preserve">OEM Integration</w:t>
      </w:r>
      <w:r>
        <w:t xml:space="preserve">: $500K-2M (Tier 1 strategic: $1.5-2M with exclusivity; Tier 2 enterprise: $750K-1.5M; Tier 3 standard: $500K-750K)</w:t>
      </w:r>
      <w:r>
        <w:t xml:space="preserve"> </w:t>
      </w:r>
      <w:r>
        <w:t xml:space="preserve">-</w:t>
      </w:r>
      <w:r>
        <w:t xml:space="preserve"> </w:t>
      </w:r>
      <w:r>
        <w:rPr>
          <w:b/>
          <w:bCs/>
        </w:rPr>
        <w:t xml:space="preserve">Volume Discounts</w:t>
      </w:r>
      <w:r>
        <w:t xml:space="preserve">: 10% (6-10 instruments), 20% (11-20), 30% (21+) to encourage large deployments</w:t>
      </w:r>
    </w:p>
    <w:p>
      <w:pPr>
        <w:pStyle w:val="BodyText"/>
      </w:pPr>
      <w:r>
        <w:rPr>
          <w:b/>
          <w:bCs/>
        </w:rPr>
        <w:t xml:space="preserve">Gross Margin Profile</w:t>
      </w:r>
      <w:r>
        <w:t xml:space="preserve">:</w:t>
      </w:r>
      <w:r>
        <w:t xml:space="preserve"> </w:t>
      </w:r>
      <w:r>
        <w:t xml:space="preserve">-</w:t>
      </w:r>
      <w:r>
        <w:t xml:space="preserve"> </w:t>
      </w:r>
      <w:r>
        <w:rPr>
          <w:b/>
          <w:bCs/>
        </w:rPr>
        <w:t xml:space="preserve">Blended Gross Margin</w:t>
      </w:r>
      <w:r>
        <w:t xml:space="preserve">: 70-75% (typical enterprise software)</w:t>
      </w:r>
      <w:r>
        <w:t xml:space="preserve"> </w:t>
      </w:r>
      <w:r>
        <w:t xml:space="preserve">- Per-instrument licenses: 85-90% (pure software margin)</w:t>
      </w:r>
      <w:r>
        <w:t xml:space="preserve"> </w:t>
      </w:r>
      <w:r>
        <w:t xml:space="preserve">- Annual maintenance: 75-80% (support staff costs)</w:t>
      </w:r>
      <w:r>
        <w:t xml:space="preserve"> </w:t>
      </w:r>
      <w:r>
        <w:t xml:space="preserve">- OEM integration: 60-70% (custom development labor)</w:t>
      </w:r>
      <w:r>
        <w:t xml:space="preserve"> </w:t>
      </w:r>
      <w:r>
        <w:t xml:space="preserve">- Services/training: 50-60% (labor-intensive delivery)</w:t>
      </w:r>
      <w:r>
        <w:t xml:space="preserve"> </w:t>
      </w:r>
      <w:r>
        <w:t xml:space="preserve">-</w:t>
      </w:r>
      <w:r>
        <w:t xml:space="preserve"> </w:t>
      </w:r>
      <w:r>
        <w:rPr>
          <w:b/>
          <w:bCs/>
        </w:rPr>
        <w:t xml:space="preserve">Margin Improvement</w:t>
      </w:r>
      <w:r>
        <w:t xml:space="preserve">: 60-65% (Year 1-2, higher services mix) → 75-80% (Year 5+, mature product leverage)</w:t>
      </w:r>
    </w:p>
    <w:p>
      <w:r>
        <w:pict>
          <v:rect style="width:0;height:1.5pt" o:hralign="center" o:hrstd="t" o:hr="t"/>
        </w:pict>
      </w:r>
    </w:p>
    <w:bookmarkEnd w:id="12"/>
    <w:bookmarkEnd w:id="13"/>
    <w:bookmarkStart w:id="17" w:name="technical-feasibility-assessment"/>
    <w:p>
      <w:pPr>
        <w:pStyle w:val="Heading2"/>
      </w:pPr>
      <w:r>
        <w:rPr>
          <w:rStyle w:val="SectionNumber"/>
        </w:rPr>
        <w:t xml:space="preserve">1.3</w:t>
      </w:r>
      <w:r>
        <w:tab/>
      </w:r>
      <w:r>
        <w:t xml:space="preserve">Technical Feasibility Assessment</w:t>
      </w:r>
    </w:p>
    <w:bookmarkStart w:id="14" w:name="core-technology-readiness"/>
    <w:p>
      <w:pPr>
        <w:pStyle w:val="Heading3"/>
      </w:pPr>
      <w:r>
        <w:rPr>
          <w:rStyle w:val="SectionNumber"/>
        </w:rPr>
        <w:t xml:space="preserve">1.3.1</w:t>
      </w:r>
      <w:r>
        <w:tab/>
      </w:r>
      <w:r>
        <w:t xml:space="preserve">Core Technology Readiness</w:t>
      </w:r>
    </w:p>
    <w:p>
      <w:pPr>
        <w:pStyle w:val="FirstParagraph"/>
      </w:pPr>
      <w:r>
        <w:rPr>
          <w:b/>
          <w:bCs/>
        </w:rPr>
        <w:t xml:space="preserve">SMT Solver Maturity</w:t>
      </w:r>
      <w:r>
        <w:t xml:space="preserve"> </w:t>
      </w:r>
      <w:r>
        <w:t xml:space="preserve">(Technology Readiness Level 7-8):</w:t>
      </w:r>
      <w:r>
        <w:t xml:space="preserve"> </w:t>
      </w:r>
      <w:r>
        <w:t xml:space="preserve">-</w:t>
      </w:r>
      <w:r>
        <w:t xml:space="preserve"> </w:t>
      </w:r>
      <w:r>
        <w:rPr>
          <w:b/>
          <w:bCs/>
        </w:rPr>
        <w:t xml:space="preserve">Z3 (Microsoft Research)</w:t>
      </w:r>
      <w:r>
        <w:t xml:space="preserve">: 15+ years production use, MIT license, extensive benchmarking in software verification</w:t>
      </w:r>
      <w:r>
        <w:t xml:space="preserve"> </w:t>
      </w:r>
      <w:r>
        <w:t xml:space="preserve">-</w:t>
      </w:r>
      <w:r>
        <w:t xml:space="preserve"> </w:t>
      </w:r>
      <w:r>
        <w:rPr>
          <w:b/>
          <w:bCs/>
        </w:rPr>
        <w:t xml:space="preserve">CVC5 (Stanford/Iowa)</w:t>
      </w:r>
      <w:r>
        <w:t xml:space="preserve">: Proven in formal methods, strong quantifier and non-linear arithmetic support, BSD license</w:t>
      </w:r>
      <w:r>
        <w:t xml:space="preserve"> </w:t>
      </w:r>
      <w:r>
        <w:t xml:space="preserve">-</w:t>
      </w:r>
      <w:r>
        <w:t xml:space="preserve"> </w:t>
      </w:r>
      <w:r>
        <w:rPr>
          <w:b/>
          <w:bCs/>
        </w:rPr>
        <w:t xml:space="preserve">Application Precedents</w:t>
      </w:r>
      <w:r>
        <w:t xml:space="preserve">:</w:t>
      </w:r>
      <w:r>
        <w:t xml:space="preserve"> </w:t>
      </w:r>
      <w:r>
        <w:t xml:space="preserve">- Software verification: Microsoft Windows, Intel processor verification</w:t>
      </w:r>
      <w:r>
        <w:t xml:space="preserve"> </w:t>
      </w:r>
      <w:r>
        <w:t xml:space="preserve">- Aerospace: DO-178C certified solvers for safety-critical avionics</w:t>
      </w:r>
      <w:r>
        <w:t xml:space="preserve"> </w:t>
      </w:r>
      <w:r>
        <w:t xml:space="preserve">- Financial systems: Formal verification of trading algorithms and risk models</w:t>
      </w:r>
      <w:r>
        <w:t xml:space="preserve"> </w:t>
      </w:r>
      <w:r>
        <w:t xml:space="preserve">-</w:t>
      </w:r>
      <w:r>
        <w:t xml:space="preserve"> </w:t>
      </w:r>
      <w:r>
        <w:rPr>
          <w:b/>
          <w:bCs/>
        </w:rPr>
        <w:t xml:space="preserve">Assessment</w:t>
      </w:r>
      <w:r>
        <w:t xml:space="preserve">:</w:t>
      </w:r>
      <w:r>
        <w:t xml:space="preserve"> </w:t>
      </w:r>
      <w:r>
        <w:rPr>
          <w:b/>
          <w:bCs/>
        </w:rPr>
        <w:t xml:space="preserve">Mature, battle-tested technology</w:t>
      </w:r>
      <w:r>
        <w:t xml:space="preserve"> </w:t>
      </w:r>
      <w:r>
        <w:t xml:space="preserve">with no fundamental research breakthroughs required</w:t>
      </w:r>
    </w:p>
    <w:p>
      <w:pPr>
        <w:pStyle w:val="BodyText"/>
      </w:pPr>
      <w:r>
        <w:rPr>
          <w:b/>
          <w:bCs/>
        </w:rPr>
        <w:t xml:space="preserve">Calibration Domain Suitability</w:t>
      </w:r>
      <w:r>
        <w:t xml:space="preserve">:</w:t>
      </w:r>
      <w:r>
        <w:t xml:space="preserve"> </w:t>
      </w:r>
      <w:r>
        <w:t xml:space="preserve">-</w:t>
      </w:r>
      <w:r>
        <w:t xml:space="preserve"> </w:t>
      </w:r>
      <w:r>
        <w:rPr>
          <w:b/>
          <w:bCs/>
        </w:rPr>
        <w:t xml:space="preserve">Mathematical Characteristics</w:t>
      </w:r>
      <w:r>
        <w:t xml:space="preserve">:</w:t>
      </w:r>
      <w:r>
        <w:t xml:space="preserve"> </w:t>
      </w:r>
      <w:r>
        <w:t xml:space="preserve">- Calibration algorithms primarily</w:t>
      </w:r>
      <w:r>
        <w:t xml:space="preserve"> </w:t>
      </w:r>
      <w:r>
        <w:rPr>
          <w:b/>
          <w:bCs/>
        </w:rPr>
        <w:t xml:space="preserve">linear/polynomial transformations</w:t>
      </w:r>
      <w:r>
        <w:t xml:space="preserve"> </w:t>
      </w:r>
      <w:r>
        <w:t xml:space="preserve">(map naturally to SMT arithmetic theories)</w:t>
      </w:r>
      <w:r>
        <w:t xml:space="preserve"> </w:t>
      </w:r>
      <w:r>
        <w:t xml:space="preserve">- Uncertainty quantification follows</w:t>
      </w:r>
      <w:r>
        <w:t xml:space="preserve"> </w:t>
      </w:r>
      <w:r>
        <w:rPr>
          <w:b/>
          <w:bCs/>
        </w:rPr>
        <w:t xml:space="preserve">GUM methodology</w:t>
      </w:r>
      <w:r>
        <w:t xml:space="preserve"> </w:t>
      </w:r>
      <w:r>
        <w:t xml:space="preserve">(standardized framework for modeling)</w:t>
      </w:r>
      <w:r>
        <w:t xml:space="preserve"> </w:t>
      </w:r>
      <w:r>
        <w:t xml:space="preserve">- Measurement equations are</w:t>
      </w:r>
      <w:r>
        <w:t xml:space="preserve"> </w:t>
      </w:r>
      <w:r>
        <w:rPr>
          <w:b/>
          <w:bCs/>
        </w:rPr>
        <w:t xml:space="preserve">well-defined, deterministic</w:t>
      </w:r>
      <w:r>
        <w:t xml:space="preserve"> </w:t>
      </w:r>
      <w:r>
        <w:t xml:space="preserve">relationships (vs. complex multi-physics simulations)</w:t>
      </w:r>
      <w:r>
        <w:t xml:space="preserve"> </w:t>
      </w:r>
      <w:r>
        <w:t xml:space="preserve">-</w:t>
      </w:r>
      <w:r>
        <w:t xml:space="preserve"> </w:t>
      </w:r>
      <w:r>
        <w:rPr>
          <w:b/>
          <w:bCs/>
        </w:rPr>
        <w:t xml:space="preserve">SMT-LIB Standard Compliance</w:t>
      </w:r>
      <w:r>
        <w:t xml:space="preserve">:</w:t>
      </w:r>
      <w:r>
        <w:t xml:space="preserve"> </w:t>
      </w:r>
      <w:r>
        <w:t xml:space="preserve">- Industry-standard SMT-LIB 2.6 format ensures</w:t>
      </w:r>
      <w:r>
        <w:t xml:space="preserve"> </w:t>
      </w:r>
      <w:r>
        <w:rPr>
          <w:b/>
          <w:bCs/>
        </w:rPr>
        <w:t xml:space="preserve">portability across solvers</w:t>
      </w:r>
      <w:r>
        <w:t xml:space="preserve"> </w:t>
      </w:r>
      <w:r>
        <w:t xml:space="preserve">(Z3, CVC5, Alt-Ergo)</w:t>
      </w:r>
      <w:r>
        <w:t xml:space="preserve"> </w:t>
      </w:r>
      <w:r>
        <w:t xml:space="preserve">- Prevents vendor lock-in, allows customer solver choice based on performance/licensing/certification needs</w:t>
      </w:r>
      <w:r>
        <w:t xml:space="preserve"> </w:t>
      </w:r>
      <w:r>
        <w:t xml:space="preserve">-</w:t>
      </w:r>
      <w:r>
        <w:t xml:space="preserve"> </w:t>
      </w:r>
      <w:r>
        <w:rPr>
          <w:b/>
          <w:bCs/>
        </w:rPr>
        <w:t xml:space="preserve">Assessment</w:t>
      </w:r>
      <w:r>
        <w:t xml:space="preserve">: Calibration is an</w:t>
      </w:r>
      <w:r>
        <w:t xml:space="preserve"> </w:t>
      </w:r>
      <w:r>
        <w:rPr>
          <w:b/>
          <w:bCs/>
        </w:rPr>
        <w:t xml:space="preserve">ideal application domain</w:t>
      </w:r>
      <w:r>
        <w:t xml:space="preserve"> </w:t>
      </w:r>
      <w:r>
        <w:t xml:space="preserve">for SMT-based formal verification (better than average feasibility)</w:t>
      </w:r>
    </w:p>
    <w:bookmarkEnd w:id="14"/>
    <w:bookmarkStart w:id="15" w:name="system-architecture-overview"/>
    <w:p>
      <w:pPr>
        <w:pStyle w:val="Heading3"/>
      </w:pPr>
      <w:r>
        <w:rPr>
          <w:rStyle w:val="SectionNumber"/>
        </w:rPr>
        <w:t xml:space="preserve">1.3.2</w:t>
      </w:r>
      <w:r>
        <w:tab/>
      </w:r>
      <w:r>
        <w:t xml:space="preserve">System Architecture Overview</w:t>
      </w:r>
    </w:p>
    <w:p>
      <w:pPr>
        <w:pStyle w:val="FirstParagraph"/>
      </w:pPr>
      <w:r>
        <w:rPr>
          <w:b/>
          <w:bCs/>
        </w:rPr>
        <w:t xml:space="preserve">High-Level Architecture</w:t>
      </w:r>
      <w:r>
        <w:t xml:space="preserve"> </w:t>
      </w:r>
      <w:r>
        <w:t xml:space="preserve">(Verification-First Design):</w:t>
      </w:r>
    </w:p>
    <w:p>
      <w:pPr>
        <w:pStyle w:val="SourceCode"/>
      </w:pPr>
      <w:r>
        <w:rPr>
          <w:rStyle w:val="VerbatimChar"/>
        </w:rPr>
        <w:t xml:space="preserve">graph TB</w:t>
      </w:r>
      <w:r>
        <w:br/>
      </w:r>
      <w:r>
        <w:rPr>
          <w:rStyle w:val="VerbatimChar"/>
        </w:rPr>
        <w:t xml:space="preserve">    subgraph "Calibration Environment"</w:t>
      </w:r>
      <w:r>
        <w:br/>
      </w:r>
      <w:r>
        <w:rPr>
          <w:rStyle w:val="VerbatimChar"/>
        </w:rPr>
        <w:t xml:space="preserve">        INST[Precision Instruments]</w:t>
      </w:r>
      <w:r>
        <w:br/>
      </w:r>
      <w:r>
        <w:rPr>
          <w:rStyle w:val="VerbatimChar"/>
        </w:rPr>
        <w:t xml:space="preserve">        CAL_SW[Existing Calibration Software]</w:t>
      </w:r>
      <w:r>
        <w:br/>
      </w:r>
      <w:r>
        <w:rPr>
          <w:rStyle w:val="VerbatimChar"/>
        </w:rPr>
        <w:t xml:space="preserve">    end</w:t>
      </w:r>
      <w:r>
        <w:br/>
      </w:r>
      <w:r>
        <w:br/>
      </w:r>
      <w:r>
        <w:rPr>
          <w:rStyle w:val="VerbatimChar"/>
        </w:rPr>
        <w:t xml:space="preserve">    subgraph "ACVS Verification Engine"</w:t>
      </w:r>
      <w:r>
        <w:br/>
      </w:r>
      <w:r>
        <w:rPr>
          <w:rStyle w:val="VerbatimChar"/>
        </w:rPr>
        <w:t xml:space="preserve">        MODEL[SMT Model Builder]</w:t>
      </w:r>
      <w:r>
        <w:br/>
      </w:r>
      <w:r>
        <w:rPr>
          <w:rStyle w:val="VerbatimChar"/>
        </w:rPr>
        <w:t xml:space="preserve">        SOLVER[Solver Pool: Z3/CVC5]</w:t>
      </w:r>
      <w:r>
        <w:br/>
      </w:r>
      <w:r>
        <w:rPr>
          <w:rStyle w:val="VerbatimChar"/>
        </w:rPr>
        <w:t xml:space="preserve">        PROOF[Proof Validator]</w:t>
      </w:r>
      <w:r>
        <w:br/>
      </w:r>
      <w:r>
        <w:rPr>
          <w:rStyle w:val="VerbatimChar"/>
        </w:rPr>
        <w:t xml:space="preserve">        CACHE[Verification Cache]</w:t>
      </w:r>
      <w:r>
        <w:br/>
      </w:r>
      <w:r>
        <w:rPr>
          <w:rStyle w:val="VerbatimChar"/>
        </w:rPr>
        <w:t xml:space="preserve">    end</w:t>
      </w:r>
      <w:r>
        <w:br/>
      </w:r>
      <w:r>
        <w:br/>
      </w:r>
      <w:r>
        <w:rPr>
          <w:rStyle w:val="VerbatimChar"/>
        </w:rPr>
        <w:t xml:space="preserve">    subgraph "Certificate Generation"</w:t>
      </w:r>
      <w:r>
        <w:br/>
      </w:r>
      <w:r>
        <w:rPr>
          <w:rStyle w:val="VerbatimChar"/>
        </w:rPr>
        <w:t xml:space="preserve">        CERT[Certificate Generator]</w:t>
      </w:r>
      <w:r>
        <w:br/>
      </w:r>
      <w:r>
        <w:rPr>
          <w:rStyle w:val="VerbatimChar"/>
        </w:rPr>
        <w:t xml:space="preserve">        SIGN[Digital Signature]</w:t>
      </w:r>
      <w:r>
        <w:br/>
      </w:r>
      <w:r>
        <w:rPr>
          <w:rStyle w:val="VerbatimChar"/>
        </w:rPr>
        <w:t xml:space="preserve">        BLOCKCHAIN[Certificate Registry]</w:t>
      </w:r>
      <w:r>
        <w:br/>
      </w:r>
      <w:r>
        <w:rPr>
          <w:rStyle w:val="VerbatimChar"/>
        </w:rPr>
        <w:t xml:space="preserve">    end</w:t>
      </w:r>
      <w:r>
        <w:br/>
      </w:r>
      <w:r>
        <w:br/>
      </w:r>
      <w:r>
        <w:rPr>
          <w:rStyle w:val="VerbatimChar"/>
        </w:rPr>
        <w:t xml:space="preserve">    subgraph "Data Layer"</w:t>
      </w:r>
      <w:r>
        <w:br/>
      </w:r>
      <w:r>
        <w:rPr>
          <w:rStyle w:val="VerbatimChar"/>
        </w:rPr>
        <w:t xml:space="preserve">        TIME_DB[(Time-Series: Calibration History)]</w:t>
      </w:r>
      <w:r>
        <w:br/>
      </w:r>
      <w:r>
        <w:rPr>
          <w:rStyle w:val="VerbatimChar"/>
        </w:rPr>
        <w:t xml:space="preserve">        DOC_DB[(Document Store: Certificates &amp; Proofs)]</w:t>
      </w:r>
      <w:r>
        <w:br/>
      </w:r>
      <w:r>
        <w:rPr>
          <w:rStyle w:val="VerbatimChar"/>
        </w:rPr>
        <w:t xml:space="preserve">        GRAPH_DB[(Graph DB: Traceability Chain)]</w:t>
      </w:r>
      <w:r>
        <w:br/>
      </w:r>
      <w:r>
        <w:rPr>
          <w:rStyle w:val="VerbatimChar"/>
        </w:rPr>
        <w:t xml:space="preserve">    end</w:t>
      </w:r>
      <w:r>
        <w:br/>
      </w:r>
      <w:r>
        <w:br/>
      </w:r>
      <w:r>
        <w:rPr>
          <w:rStyle w:val="VerbatimChar"/>
        </w:rPr>
        <w:t xml:space="preserve">    INST --&gt; MODEL</w:t>
      </w:r>
      <w:r>
        <w:br/>
      </w:r>
      <w:r>
        <w:rPr>
          <w:rStyle w:val="VerbatimChar"/>
        </w:rPr>
        <w:t xml:space="preserve">    CAL_SW --&gt; MODEL</w:t>
      </w:r>
      <w:r>
        <w:br/>
      </w:r>
      <w:r>
        <w:rPr>
          <w:rStyle w:val="VerbatimChar"/>
        </w:rPr>
        <w:t xml:space="preserve">    MODEL --&gt; SOLVER</w:t>
      </w:r>
      <w:r>
        <w:br/>
      </w:r>
      <w:r>
        <w:rPr>
          <w:rStyle w:val="VerbatimChar"/>
        </w:rPr>
        <w:t xml:space="preserve">    SOLVER --&gt; PROOF</w:t>
      </w:r>
      <w:r>
        <w:br/>
      </w:r>
      <w:r>
        <w:rPr>
          <w:rStyle w:val="VerbatimChar"/>
        </w:rPr>
        <w:t xml:space="preserve">    PROOF --&gt; CERT</w:t>
      </w:r>
      <w:r>
        <w:br/>
      </w:r>
      <w:r>
        <w:rPr>
          <w:rStyle w:val="VerbatimChar"/>
        </w:rPr>
        <w:t xml:space="preserve">    CERT --&gt; SIGN</w:t>
      </w:r>
      <w:r>
        <w:br/>
      </w:r>
      <w:r>
        <w:rPr>
          <w:rStyle w:val="VerbatimChar"/>
        </w:rPr>
        <w:t xml:space="preserve">    SIGN --&gt; BLOCKCHAIN</w:t>
      </w:r>
      <w:r>
        <w:br/>
      </w:r>
      <w:r>
        <w:rPr>
          <w:rStyle w:val="VerbatimChar"/>
        </w:rPr>
        <w:t xml:space="preserve">    PROOF --&gt; DOC_DB</w:t>
      </w:r>
      <w:r>
        <w:br/>
      </w:r>
      <w:r>
        <w:rPr>
          <w:rStyle w:val="VerbatimChar"/>
        </w:rPr>
        <w:t xml:space="preserve">    SOLVER &lt;--&gt; CACHE</w:t>
      </w:r>
      <w:r>
        <w:br/>
      </w:r>
      <w:r>
        <w:rPr>
          <w:rStyle w:val="VerbatimChar"/>
        </w:rPr>
        <w:t xml:space="preserve">    CERT --&gt; TIME_DB</w:t>
      </w:r>
      <w:r>
        <w:br/>
      </w:r>
      <w:r>
        <w:rPr>
          <w:rStyle w:val="VerbatimChar"/>
        </w:rPr>
        <w:t xml:space="preserve">    SIGN --&gt; GRAPH_DB</w:t>
      </w:r>
    </w:p>
    <w:p>
      <w:pPr>
        <w:pStyle w:val="FirstParagraph"/>
      </w:pPr>
      <w:r>
        <w:rPr>
          <w:b/>
          <w:bCs/>
        </w:rPr>
        <w:t xml:space="preserve">Key Architectural Decisions</w:t>
      </w:r>
      <w:r>
        <w:t xml:space="preserve">:</w:t>
      </w:r>
      <w:r>
        <w:t xml:space="preserve"> </w:t>
      </w:r>
      <w:r>
        <w:t xml:space="preserve">1.</w:t>
      </w:r>
      <w:r>
        <w:t xml:space="preserve"> </w:t>
      </w:r>
      <w:r>
        <w:rPr>
          <w:b/>
          <w:bCs/>
        </w:rPr>
        <w:t xml:space="preserve">Verification-First</w:t>
      </w:r>
      <w:r>
        <w:t xml:space="preserve">: Formal verification at center of architecture (not post-processing add-on), with verification gates at pre-calibration, real-time monitoring, and post-calibration</w:t>
      </w:r>
      <w:r>
        <w:t xml:space="preserve"> </w:t>
      </w:r>
      <w:r>
        <w:t xml:space="preserve">2.</w:t>
      </w:r>
      <w:r>
        <w:t xml:space="preserve"> </w:t>
      </w:r>
      <w:r>
        <w:rPr>
          <w:b/>
          <w:bCs/>
        </w:rPr>
        <w:t xml:space="preserve">Hybrid Deployment</w:t>
      </w:r>
      <w:r>
        <w:t xml:space="preserve">: Support both on-premise (air-gapped metrology labs) and cloud SaaS (calibration service providers) with unified codebase</w:t>
      </w:r>
      <w:r>
        <w:t xml:space="preserve"> </w:t>
      </w:r>
      <w:r>
        <w:t xml:space="preserve">3.</w:t>
      </w:r>
      <w:r>
        <w:t xml:space="preserve"> </w:t>
      </w:r>
      <w:r>
        <w:rPr>
          <w:b/>
          <w:bCs/>
        </w:rPr>
        <w:t xml:space="preserve">SMT-LIB Standard</w:t>
      </w:r>
      <w:r>
        <w:t xml:space="preserve">: All calibration models in SMT-LIB 2.6 format for portability and customer flexibility</w:t>
      </w:r>
    </w:p>
    <w:p>
      <w:pPr>
        <w:pStyle w:val="BodyText"/>
      </w:pPr>
      <w:r>
        <w:rPr>
          <w:b/>
          <w:bCs/>
        </w:rPr>
        <w:t xml:space="preserve">Performance Targets and Scalability</w:t>
      </w:r>
      <w:r>
        <w:t xml:space="preserve">:</w:t>
      </w:r>
      <w:r>
        <w:t xml:space="preserve"> </w:t>
      </w:r>
      <w:r>
        <w:t xml:space="preserve">-</w:t>
      </w:r>
      <w:r>
        <w:t xml:space="preserve"> </w:t>
      </w:r>
      <w:r>
        <w:rPr>
          <w:b/>
          <w:bCs/>
        </w:rPr>
        <w:t xml:space="preserve">Verification Latency (P95)</w:t>
      </w:r>
      <w:r>
        <w:t xml:space="preserve">: &lt; 60 seconds (target &lt; 1 minute for production use)</w:t>
      </w:r>
      <w:r>
        <w:t xml:space="preserve"> </w:t>
      </w:r>
      <w:r>
        <w:t xml:space="preserve">-</w:t>
      </w:r>
      <w:r>
        <w:t xml:space="preserve"> </w:t>
      </w:r>
      <w:r>
        <w:rPr>
          <w:b/>
          <w:bCs/>
        </w:rPr>
        <w:t xml:space="preserve">Verification Throughput</w:t>
      </w:r>
      <w:r>
        <w:t xml:space="preserve">: &gt; 10,000/hour on 32-core cluster</w:t>
      </w:r>
      <w:r>
        <w:t xml:space="preserve"> </w:t>
      </w:r>
      <w:r>
        <w:t xml:space="preserve">-</w:t>
      </w:r>
      <w:r>
        <w:t xml:space="preserve"> </w:t>
      </w:r>
      <w:r>
        <w:rPr>
          <w:b/>
          <w:bCs/>
        </w:rPr>
        <w:t xml:space="preserve">Scalability Analysis</w:t>
      </w:r>
      <w:r>
        <w:t xml:space="preserve">:</w:t>
      </w:r>
      <w:r>
        <w:t xml:space="preserve"> </w:t>
      </w:r>
      <w:r>
        <w:t xml:space="preserve">- Vertical scaling: Linear up to 32 cores (SMT solver CPU-bound, ~100 concurrent verifications per node)</w:t>
      </w:r>
      <w:r>
        <w:t xml:space="preserve"> </w:t>
      </w:r>
      <w:r>
        <w:t xml:space="preserve">- Horizontal scaling: Stateless workers enable linear scaling (database becomes bottleneck at ~500 workers, mitigated by read replicas)</w:t>
      </w:r>
      <w:r>
        <w:t xml:space="preserve"> </w:t>
      </w:r>
      <w:r>
        <w:t xml:space="preserve">- Bottleneck mitigation: Verification cache (90% hit rate reduces load 10×), parallel solver execution, batch database writes</w:t>
      </w:r>
    </w:p>
    <w:bookmarkEnd w:id="15"/>
    <w:bookmarkStart w:id="16" w:name="technical-risks-and-mitigation"/>
    <w:p>
      <w:pPr>
        <w:pStyle w:val="Heading3"/>
      </w:pPr>
      <w:r>
        <w:rPr>
          <w:rStyle w:val="SectionNumber"/>
        </w:rPr>
        <w:t xml:space="preserve">1.3.3</w:t>
      </w:r>
      <w:r>
        <w:tab/>
      </w:r>
      <w:r>
        <w:t xml:space="preserve">Technical Risks and Mitigation</w:t>
      </w:r>
    </w:p>
    <w:p>
      <w:pPr>
        <w:pStyle w:val="FirstParagraph"/>
      </w:pPr>
      <w:r>
        <w:rPr>
          <w:b/>
          <w:bCs/>
        </w:rPr>
        <w:t xml:space="preserve">High Risk: SMT Solver Performance</w:t>
      </w:r>
      <w:r>
        <w:t xml:space="preserve"> </w:t>
      </w:r>
      <w:r>
        <w:t xml:space="preserve">(Likelihood: 40%, Impact: High)</w:t>
      </w:r>
      <w:r>
        <w:t xml:space="preserve"> </w:t>
      </w:r>
      <w:r>
        <w:t xml:space="preserve">-</w:t>
      </w:r>
      <w:r>
        <w:t xml:space="preserve"> </w:t>
      </w:r>
      <w:r>
        <w:rPr>
          <w:b/>
          <w:bCs/>
        </w:rPr>
        <w:t xml:space="preserve">Concern</w:t>
      </w:r>
      <w:r>
        <w:t xml:space="preserve">: Verification time &gt; 1 minute blocks production use (calibration throughput limited)</w:t>
      </w:r>
      <w:r>
        <w:t xml:space="preserve"> </w:t>
      </w:r>
      <w:r>
        <w:t xml:space="preserve">-</w:t>
      </w:r>
      <w:r>
        <w:t xml:space="preserve"> </w:t>
      </w:r>
      <w:r>
        <w:rPr>
          <w:b/>
          <w:bCs/>
        </w:rPr>
        <w:t xml:space="preserve">Mitigation</w:t>
      </w:r>
      <w:r>
        <w:t xml:space="preserve">:</w:t>
      </w:r>
      <w:r>
        <w:t xml:space="preserve"> </w:t>
      </w:r>
      <w:r>
        <w:t xml:space="preserve">- Early benchmarking (Month 2) validates feasibility before major investment</w:t>
      </w:r>
      <w:r>
        <w:t xml:space="preserve"> </w:t>
      </w:r>
      <w:r>
        <w:t xml:space="preserve">-</w:t>
      </w:r>
      <w:r>
        <w:t xml:space="preserve"> </w:t>
      </w:r>
      <w:r>
        <w:rPr>
          <w:b/>
          <w:bCs/>
        </w:rPr>
        <w:t xml:space="preserve">Verification cache</w:t>
      </w:r>
      <w:r>
        <w:t xml:space="preserve">: 90% hit rate (calibration procedures reused) reduces computational load 10×</w:t>
      </w:r>
      <w:r>
        <w:t xml:space="preserve"> </w:t>
      </w:r>
      <w:r>
        <w:t xml:space="preserve">-</w:t>
      </w:r>
      <w:r>
        <w:t xml:space="preserve"> </w:t>
      </w:r>
      <w:r>
        <w:rPr>
          <w:b/>
          <w:bCs/>
        </w:rPr>
        <w:t xml:space="preserve">Incremental verification</w:t>
      </w:r>
      <w:r>
        <w:t xml:space="preserve">: Break long stability measurements into chunks</w:t>
      </w:r>
      <w:r>
        <w:t xml:space="preserve"> </w:t>
      </w:r>
      <w:r>
        <w:t xml:space="preserve">-</w:t>
      </w:r>
      <w:r>
        <w:t xml:space="preserve"> </w:t>
      </w:r>
      <w:r>
        <w:rPr>
          <w:b/>
          <w:bCs/>
        </w:rPr>
        <w:t xml:space="preserve">Hybrid fallback</w:t>
      </w:r>
      <w:r>
        <w:t xml:space="preserve">: Rule-based verification + SMT-assisted uncertainty analysis if full formal verification proves intractable</w:t>
      </w:r>
      <w:r>
        <w:t xml:space="preserve"> </w:t>
      </w:r>
      <w:r>
        <w:t xml:space="preserve">-</w:t>
      </w:r>
      <w:r>
        <w:t xml:space="preserve"> </w:t>
      </w:r>
      <w:r>
        <w:rPr>
          <w:b/>
          <w:bCs/>
        </w:rPr>
        <w:t xml:space="preserve">Residual Risk</w:t>
      </w:r>
      <w:r>
        <w:t xml:space="preserve">: Medium (multiple fallback options, early validation checkpoint)</w:t>
      </w:r>
    </w:p>
    <w:p>
      <w:pPr>
        <w:pStyle w:val="BodyText"/>
      </w:pPr>
      <w:r>
        <w:rPr>
          <w:b/>
          <w:bCs/>
        </w:rPr>
        <w:t xml:space="preserve">Medium Risk: Measurement Uncertainty Magnitude</w:t>
      </w:r>
      <w:r>
        <w:t xml:space="preserve"> </w:t>
      </w:r>
      <w:r>
        <w:t xml:space="preserve">(Likelihood: 35%, Impact: Medium)</w:t>
      </w:r>
      <w:r>
        <w:t xml:space="preserve"> </w:t>
      </w:r>
      <w:r>
        <w:t xml:space="preserve">-</w:t>
      </w:r>
      <w:r>
        <w:t xml:space="preserve"> </w:t>
      </w:r>
      <w:r>
        <w:rPr>
          <w:b/>
          <w:bCs/>
        </w:rPr>
        <w:t xml:space="preserve">Concern</w:t>
      </w:r>
      <w:r>
        <w:t xml:space="preserve">: Automated verification uncertainty &gt; 2× manual method reduces value proposition</w:t>
      </w:r>
      <w:r>
        <w:t xml:space="preserve"> </w:t>
      </w:r>
      <w:r>
        <w:t xml:space="preserve">-</w:t>
      </w:r>
      <w:r>
        <w:t xml:space="preserve"> </w:t>
      </w:r>
      <w:r>
        <w:rPr>
          <w:b/>
          <w:bCs/>
        </w:rPr>
        <w:t xml:space="preserve">Mitigation</w:t>
      </w:r>
      <w:r>
        <w:t xml:space="preserve">:</w:t>
      </w:r>
      <w:r>
        <w:t xml:space="preserve"> </w:t>
      </w:r>
      <w:r>
        <w:t xml:space="preserve">- Early uncertainty budget (Month 2) identifies dominant contributors before implementation</w:t>
      </w:r>
      <w:r>
        <w:t xml:space="preserve"> </w:t>
      </w:r>
      <w:r>
        <w:t xml:space="preserve">- High-quality test equipment (Keysight 53230A frequency counter, $12K vs. lower-cost alternatives)</w:t>
      </w:r>
      <w:r>
        <w:t xml:space="preserve"> </w:t>
      </w:r>
      <w:r>
        <w:t xml:space="preserve">- Environmental control: Use SRS climate-controlled, magnetically-shielded lab facilities</w:t>
      </w:r>
      <w:r>
        <w:t xml:space="preserve"> </w:t>
      </w:r>
      <w:r>
        <w:t xml:space="preserve">- Statistical power analysis: Ensure sufficient validation sample sizes (10+ units in Phase 1)</w:t>
      </w:r>
      <w:r>
        <w:t xml:space="preserve"> </w:t>
      </w:r>
      <w:r>
        <w:t xml:space="preserve">-</w:t>
      </w:r>
      <w:r>
        <w:t xml:space="preserve"> </w:t>
      </w:r>
      <w:r>
        <w:rPr>
          <w:b/>
          <w:bCs/>
        </w:rPr>
        <w:t xml:space="preserve">Residual Risk</w:t>
      </w:r>
      <w:r>
        <w:t xml:space="preserve">: Low (controlled through equipment quality and process discipline)</w:t>
      </w:r>
    </w:p>
    <w:p>
      <w:pPr>
        <w:pStyle w:val="BodyText"/>
      </w:pPr>
      <w:r>
        <w:rPr>
          <w:b/>
          <w:bCs/>
        </w:rPr>
        <w:t xml:space="preserve">Medium Risk: Tribal Knowledge Capture</w:t>
      </w:r>
      <w:r>
        <w:t xml:space="preserve"> </w:t>
      </w:r>
      <w:r>
        <w:t xml:space="preserve">(Likelihood: 50%, Impact: Medium)</w:t>
      </w:r>
      <w:r>
        <w:t xml:space="preserve"> </w:t>
      </w:r>
      <w:r>
        <w:t xml:space="preserve">-</w:t>
      </w:r>
      <w:r>
        <w:t xml:space="preserve"> </w:t>
      </w:r>
      <w:r>
        <w:rPr>
          <w:b/>
          <w:bCs/>
        </w:rPr>
        <w:t xml:space="preserve">Concern</w:t>
      </w:r>
      <w:r>
        <w:t xml:space="preserve">: Manual calibration procedures contain undocumented expert knowledge not in written procedures</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Embedded observation</w:t>
      </w:r>
      <w:r>
        <w:t xml:space="preserve">: Hupyy engineers observe multiple manual calibrations by SRS technicians</w:t>
      </w:r>
      <w:r>
        <w:t xml:space="preserve"> </w:t>
      </w:r>
      <w:r>
        <w:t xml:space="preserve">-</w:t>
      </w:r>
      <w:r>
        <w:t xml:space="preserve"> </w:t>
      </w:r>
      <w:r>
        <w:rPr>
          <w:b/>
          <w:bCs/>
        </w:rPr>
        <w:t xml:space="preserve">Knowledge elicitation</w:t>
      </w:r>
      <w:r>
        <w:t xml:space="preserve">: Structured interviews with senior metrologists</w:t>
      </w:r>
      <w:r>
        <w:t xml:space="preserve"> </w:t>
      </w:r>
      <w:r>
        <w:t xml:space="preserve">-</w:t>
      </w:r>
      <w:r>
        <w:t xml:space="preserve"> </w:t>
      </w:r>
      <w:r>
        <w:rPr>
          <w:b/>
          <w:bCs/>
        </w:rPr>
        <w:t xml:space="preserve">Iterative validation</w:t>
      </w:r>
      <w:r>
        <w:t xml:space="preserve">: Early comparison testing (Month 4) surfaces discrepancies</w:t>
      </w:r>
      <w:r>
        <w:t xml:space="preserve"> </w:t>
      </w:r>
      <w:r>
        <w:t xml:space="preserve">-</w:t>
      </w:r>
      <w:r>
        <w:t xml:space="preserve"> </w:t>
      </w:r>
      <w:r>
        <w:rPr>
          <w:b/>
          <w:bCs/>
        </w:rPr>
        <w:t xml:space="preserve">SRS metrologist embedded</w:t>
      </w:r>
      <w:r>
        <w:t xml:space="preserve"> </w:t>
      </w:r>
      <w:r>
        <w:t xml:space="preserve">in Hupyy team part-time for continuous knowledge transfer</w:t>
      </w:r>
      <w:r>
        <w:t xml:space="preserve"> </w:t>
      </w:r>
      <w:r>
        <w:t xml:space="preserve">-</w:t>
      </w:r>
      <w:r>
        <w:t xml:space="preserve"> </w:t>
      </w:r>
      <w:r>
        <w:rPr>
          <w:b/>
          <w:bCs/>
        </w:rPr>
        <w:t xml:space="preserve">Residual Risk</w:t>
      </w:r>
      <w:r>
        <w:t xml:space="preserve">: Low-Medium (partnership mitigates significantly, SRS has 0.5 FTE senior metrologist allocated)</w:t>
      </w:r>
    </w:p>
    <w:p>
      <w:r>
        <w:pict>
          <v:rect style="width:0;height:1.5pt" o:hralign="center" o:hrstd="t" o:hr="t"/>
        </w:pict>
      </w:r>
    </w:p>
    <w:bookmarkEnd w:id="16"/>
    <w:bookmarkEnd w:id="17"/>
    <w:bookmarkStart w:id="21" w:name="Xfe4d924215caa854f8f05b36443bf852250ba10"/>
    <w:p>
      <w:pPr>
        <w:pStyle w:val="Heading2"/>
      </w:pPr>
      <w:r>
        <w:rPr>
          <w:rStyle w:val="SectionNumber"/>
        </w:rPr>
        <w:t xml:space="preserve">1.4</w:t>
      </w:r>
      <w:r>
        <w:tab/>
      </w:r>
      <w:r>
        <w:t xml:space="preserve">Competitive Advantage and Differentiation</w:t>
      </w:r>
    </w:p>
    <w:bookmarkStart w:id="18" w:name="Xbf1636a46295a8ab8cf453575f9646d3d9b81a9"/>
    <w:p>
      <w:pPr>
        <w:pStyle w:val="Heading3"/>
      </w:pPr>
      <w:r>
        <w:rPr>
          <w:rStyle w:val="SectionNumber"/>
        </w:rPr>
        <w:t xml:space="preserve">1.4.1</w:t>
      </w:r>
      <w:r>
        <w:tab/>
      </w:r>
      <w:r>
        <w:t xml:space="preserve">Competitive Landscape: Critical Gap Identified</w:t>
      </w:r>
    </w:p>
    <w:p>
      <w:pPr>
        <w:pStyle w:val="FirstParagraph"/>
      </w:pPr>
      <w:r>
        <w:rPr>
          <w:b/>
          <w:bCs/>
        </w:rPr>
        <w:t xml:space="preserve">Exhaustive Market Research Finding</w:t>
      </w:r>
      <w:r>
        <w:t xml:space="preserve">:</w:t>
      </w:r>
      <w:r>
        <w:t xml:space="preserve"> </w:t>
      </w:r>
      <w:r>
        <w:rPr>
          <w:b/>
          <w:bCs/>
        </w:rPr>
        <w:t xml:space="preserve">Zero competitors offer formal mathematical verification of calibration accuracy</w:t>
      </w:r>
    </w:p>
    <w:p>
      <w:pPr>
        <w:pStyle w:val="BodyText"/>
      </w:pPr>
      <w:r>
        <w:rPr>
          <w:b/>
          <w:bCs/>
        </w:rPr>
        <w:t xml:space="preserve">Major Vendors Analyzed</w:t>
      </w:r>
      <w:r>
        <w:t xml:space="preserve"> </w:t>
      </w:r>
      <w:r>
        <w:t xml:space="preserve">(All Rely on Statistical Methods Only):</w:t>
      </w:r>
      <w:r>
        <w:t xml:space="preserve"> </w:t>
      </w:r>
      <w:r>
        <w:t xml:space="preserve">1.</w:t>
      </w:r>
      <w:r>
        <w:t xml:space="preserve"> </w:t>
      </w:r>
      <w:r>
        <w:rPr>
          <w:b/>
          <w:bCs/>
        </w:rPr>
        <w:t xml:space="preserve">Fluke Corporation</w:t>
      </w:r>
      <w:r>
        <w:t xml:space="preserve"> </w:t>
      </w:r>
      <w:r>
        <w:t xml:space="preserve">(Market Leader):</w:t>
      </w:r>
      <w:r>
        <w:t xml:space="preserve"> </w:t>
      </w:r>
      <w:r>
        <w:t xml:space="preserve">- MET/CAL: Automation of calibration procedures (workflow execution, not verification)</w:t>
      </w:r>
      <w:r>
        <w:t xml:space="preserve"> </w:t>
      </w:r>
      <w:r>
        <w:t xml:space="preserve">- Pricing: $5K-15K per workstation + 20-25% annual maintenance</w:t>
      </w:r>
      <w:r>
        <w:t xml:space="preserve"> </w:t>
      </w:r>
      <w:r>
        <w:t xml:space="preserve">- Gap: No mathematical proof of uncertainty budget correctness</w:t>
      </w:r>
      <w:r>
        <w:t xml:space="preserve"> </w:t>
      </w:r>
      <w:r>
        <w:t xml:space="preserve">2.</w:t>
      </w:r>
      <w:r>
        <w:t xml:space="preserve"> </w:t>
      </w:r>
      <w:r>
        <w:rPr>
          <w:b/>
          <w:bCs/>
        </w:rPr>
        <w:t xml:space="preserve">Keysight Technologies</w:t>
      </w:r>
      <w:r>
        <w:t xml:space="preserve">:</w:t>
      </w:r>
      <w:r>
        <w:t xml:space="preserve"> </w:t>
      </w:r>
      <w:r>
        <w:t xml:space="preserve">- PathWave Calibration: Integration with Keysight test equipment</w:t>
      </w:r>
      <w:r>
        <w:t xml:space="preserve"> </w:t>
      </w:r>
      <w:r>
        <w:t xml:space="preserve">- Pricing: Quote-based, often bundled with equipment ($10K-40K estimated)</w:t>
      </w:r>
      <w:r>
        <w:t xml:space="preserve"> </w:t>
      </w:r>
      <w:r>
        <w:t xml:space="preserve">- Gap: Statistical confidence intervals, manual expert review required</w:t>
      </w:r>
      <w:r>
        <w:t xml:space="preserve"> </w:t>
      </w:r>
      <w:r>
        <w:t xml:space="preserve">3.</w:t>
      </w:r>
      <w:r>
        <w:t xml:space="preserve"> </w:t>
      </w:r>
      <w:r>
        <w:rPr>
          <w:b/>
          <w:bCs/>
        </w:rPr>
        <w:t xml:space="preserve">Beamex</w:t>
      </w:r>
      <w:r>
        <w:t xml:space="preserve"> </w:t>
      </w:r>
      <w:r>
        <w:t xml:space="preserve">(European Leader):</w:t>
      </w:r>
      <w:r>
        <w:t xml:space="preserve"> </w:t>
      </w:r>
      <w:r>
        <w:t xml:space="preserve">- CMX Calibration Software: SaaS subscription model, hardware + software bundles</w:t>
      </w:r>
      <w:r>
        <w:t xml:space="preserve"> </w:t>
      </w:r>
      <w:r>
        <w:t xml:space="preserve">- Pricing: $10K-50K/year (estimated, not published)</w:t>
      </w:r>
      <w:r>
        <w:t xml:space="preserve"> </w:t>
      </w:r>
      <w:r>
        <w:t xml:space="preserve">- Gap: GUM-based uncertainty calculation, no automated completeness checking</w:t>
      </w:r>
      <w:r>
        <w:t xml:space="preserve"> </w:t>
      </w:r>
      <w:r>
        <w:t xml:space="preserve">4.</w:t>
      </w:r>
      <w:r>
        <w:t xml:space="preserve"> </w:t>
      </w:r>
      <w:r>
        <w:rPr>
          <w:b/>
          <w:bCs/>
        </w:rPr>
        <w:t xml:space="preserve">Tektronix, Rohde &amp; Schwarz, Small/Mid-Market</w:t>
      </w:r>
      <w:r>
        <w:t xml:space="preserve"> </w:t>
      </w:r>
      <w:r>
        <w:t xml:space="preserve">(CompuCal, GAGEtrak, etc.):</w:t>
      </w:r>
      <w:r>
        <w:t xml:space="preserve"> </w:t>
      </w:r>
      <w:r>
        <w:t xml:space="preserve">- Similar statistical methods, no formal verification capabilities</w:t>
      </w:r>
    </w:p>
    <w:p>
      <w:pPr>
        <w:pStyle w:val="BodyText"/>
      </w:pPr>
      <w:r>
        <w:rPr>
          <w:b/>
          <w:bCs/>
        </w:rPr>
        <w:t xml:space="preserve">Industry Standard Approach (GUM Methodology)</w:t>
      </w:r>
      <w:r>
        <w:t xml:space="preserve">:</w:t>
      </w:r>
      <w:r>
        <w:t xml:space="preserve"> </w:t>
      </w:r>
      <w:r>
        <w:t xml:space="preserve">- ISO/IEC Guide 98-3 (Guide to expression of Uncertainty in Measurement)</w:t>
      </w:r>
      <w:r>
        <w:t xml:space="preserve"> </w:t>
      </w:r>
      <w:r>
        <w:t xml:space="preserve">- Statistical propagation of uncertainty using Root Sum of Squares (RSS)</w:t>
      </w:r>
      <w:r>
        <w:t xml:space="preserve"> </w:t>
      </w:r>
      <w:r>
        <w:t xml:space="preserve">-</w:t>
      </w:r>
      <w:r>
        <w:t xml:space="preserve"> </w:t>
      </w:r>
      <w:r>
        <w:rPr>
          <w:b/>
          <w:bCs/>
        </w:rPr>
        <w:t xml:space="preserve">Weaknesses</w:t>
      </w:r>
      <w:r>
        <w:t xml:space="preserve">:</w:t>
      </w:r>
      <w:r>
        <w:t xml:space="preserve"> </w:t>
      </w:r>
      <w:r>
        <w:t xml:space="preserve">- Manual process for identifying uncertainty contributors (can miss sources)</w:t>
      </w:r>
      <w:r>
        <w:t xml:space="preserve"> </w:t>
      </w:r>
      <w:r>
        <w:t xml:space="preserve">- Human judgment required for Type B uncertainties (subjective)</w:t>
      </w:r>
      <w:r>
        <w:t xml:space="preserve"> </w:t>
      </w:r>
      <w:r>
        <w:t xml:space="preserve">- No verification that uncertainty budget is complete or mathematically correct</w:t>
      </w:r>
      <w:r>
        <w:t xml:space="preserve"> </w:t>
      </w:r>
      <w:r>
        <w:t xml:space="preserve">-</w:t>
      </w:r>
      <w:r>
        <w:t xml:space="preserve"> </w:t>
      </w:r>
      <w:r>
        <w:rPr>
          <w:b/>
          <w:bCs/>
        </w:rPr>
        <w:t xml:space="preserve">A2LA Evidence</w:t>
      </w:r>
      <w:r>
        <w:t xml:space="preserve">: 30-40% of calibration certificates contain uncertainty errors</w:t>
      </w:r>
    </w:p>
    <w:bookmarkEnd w:id="18"/>
    <w:bookmarkStart w:id="19" w:name="hupyys-unique-value-proposition"/>
    <w:p>
      <w:pPr>
        <w:pStyle w:val="Heading3"/>
      </w:pPr>
      <w:r>
        <w:rPr>
          <w:rStyle w:val="SectionNumber"/>
        </w:rPr>
        <w:t xml:space="preserve">1.4.2</w:t>
      </w:r>
      <w:r>
        <w:tab/>
      </w:r>
      <w:r>
        <w:t xml:space="preserve">Hupyy’s Unique Value Proposition</w:t>
      </w:r>
    </w:p>
    <w:p>
      <w:pPr>
        <w:pStyle w:val="FirstParagraph"/>
      </w:pPr>
      <w:r>
        <w:rPr>
          <w:b/>
          <w:bCs/>
        </w:rPr>
        <w:t xml:space="preserve">“Mathematically Proven Calibration Accuracy”</w:t>
      </w:r>
      <w:r>
        <w:t xml:space="preserve"> </w:t>
      </w:r>
      <w:r>
        <w:t xml:space="preserve">(vs. </w:t>
      </w:r>
      <w:r>
        <w:t xml:space="preserve">“Statistically Confident”</w:t>
      </w:r>
      <w:r>
        <w:t xml:space="preserve">)</w:t>
      </w:r>
    </w:p>
    <w:p>
      <w:pPr>
        <w:pStyle w:val="BodyText"/>
      </w:pPr>
      <w:r>
        <w:rPr>
          <w:b/>
          <w:bCs/>
        </w:rPr>
        <w:t xml:space="preserve">Differentiation Dimensions</w:t>
      </w:r>
      <w:r>
        <w:t xml:space="preserve">:</w:t>
      </w:r>
    </w:p>
    <w:p>
      <w:pPr>
        <w:pStyle w:val="BodyText"/>
      </w:pPr>
      <w:r>
        <w:rPr>
          <w:b/>
          <w:bCs/>
        </w:rPr>
        <w:t xml:space="preserve">1. Mathematical Rigor</w:t>
      </w:r>
      <w:r>
        <w:t xml:space="preserve"> </w:t>
      </w:r>
      <w:r>
        <w:t xml:space="preserve">(Qualitative Leap):</w:t>
      </w:r>
      <w:r>
        <w:t xml:space="preserve"> </w:t>
      </w:r>
      <w:r>
        <w:t xml:space="preserve">-</w:t>
      </w:r>
      <w:r>
        <w:t xml:space="preserve"> </w:t>
      </w:r>
      <w:r>
        <w:rPr>
          <w:b/>
          <w:bCs/>
        </w:rPr>
        <w:t xml:space="preserve">Competitors</w:t>
      </w:r>
      <w:r>
        <w:t xml:space="preserve">:</w:t>
      </w:r>
      <w:r>
        <w:t xml:space="preserve"> </w:t>
      </w:r>
      <w:r>
        <w:t xml:space="preserve">“95% statistical confidence”</w:t>
      </w:r>
      <w:r>
        <w:t xml:space="preserve"> </w:t>
      </w:r>
      <w:r>
        <w:t xml:space="preserve">(GUM-based intervals)</w:t>
      </w:r>
      <w:r>
        <w:t xml:space="preserve"> </w:t>
      </w:r>
      <w:r>
        <w:t xml:space="preserve">-</w:t>
      </w:r>
      <w:r>
        <w:t xml:space="preserve"> </w:t>
      </w:r>
      <w:r>
        <w:rPr>
          <w:b/>
          <w:bCs/>
        </w:rPr>
        <w:t xml:space="preserve">Hupyy</w:t>
      </w:r>
      <w:r>
        <w:t xml:space="preserve">:</w:t>
      </w:r>
      <w:r>
        <w:t xml:space="preserve"> </w:t>
      </w:r>
      <w:r>
        <w:t xml:space="preserve">“Formal mathematical proof”</w:t>
      </w:r>
      <w:r>
        <w:t xml:space="preserve"> </w:t>
      </w:r>
      <w:r>
        <w:t xml:space="preserve">(SMT theorem proving)</w:t>
      </w:r>
      <w:r>
        <w:t xml:space="preserve"> </w:t>
      </w:r>
      <w:r>
        <w:t xml:space="preserve">-</w:t>
      </w:r>
      <w:r>
        <w:t xml:space="preserve"> </w:t>
      </w:r>
      <w:r>
        <w:rPr>
          <w:b/>
          <w:bCs/>
        </w:rPr>
        <w:t xml:space="preserve">Analogy</w:t>
      </w:r>
      <w:r>
        <w:t xml:space="preserve">: Same paradigm shift as software verification:</w:t>
      </w:r>
      <w:r>
        <w:t xml:space="preserve"> </w:t>
      </w:r>
      <w:r>
        <w:t xml:space="preserve">“probably correct”</w:t>
      </w:r>
      <w:r>
        <w:t xml:space="preserve"> </w:t>
      </w:r>
      <w:r>
        <w:t xml:space="preserve">→</w:t>
      </w:r>
      <w:r>
        <w:t xml:space="preserve"> </w:t>
      </w:r>
      <w:r>
        <w:t xml:space="preserve">“provably correct”</w:t>
      </w:r>
      <w:r>
        <w:t xml:space="preserve"> </w:t>
      </w:r>
      <w:r>
        <w:t xml:space="preserve">-</w:t>
      </w:r>
      <w:r>
        <w:t xml:space="preserve"> </w:t>
      </w:r>
      <w:r>
        <w:rPr>
          <w:b/>
          <w:bCs/>
        </w:rPr>
        <w:t xml:space="preserve">Customer Value</w:t>
      </w:r>
      <w:r>
        <w:t xml:space="preserve">: Audit defense (mathematical certainty), regulatory compliance (strongest possible evidence), customer confidence (ultra-precision applications)</w:t>
      </w:r>
    </w:p>
    <w:p>
      <w:pPr>
        <w:pStyle w:val="BodyText"/>
      </w:pPr>
      <w:r>
        <w:rPr>
          <w:b/>
          <w:bCs/>
        </w:rPr>
        <w:t xml:space="preserve">2. Automated Expert-Level Validation</w:t>
      </w:r>
      <w:r>
        <w:t xml:space="preserve">:</w:t>
      </w:r>
      <w:r>
        <w:t xml:space="preserve"> </w:t>
      </w:r>
      <w:r>
        <w:t xml:space="preserve">-</w:t>
      </w:r>
      <w:r>
        <w:t xml:space="preserve"> </w:t>
      </w:r>
      <w:r>
        <w:rPr>
          <w:b/>
          <w:bCs/>
        </w:rPr>
        <w:t xml:space="preserve">Competitors</w:t>
      </w:r>
      <w:r>
        <w:t xml:space="preserve">: Manual review by senior metrologist (2-4 hours, $200-600/calibration)</w:t>
      </w:r>
      <w:r>
        <w:t xml:space="preserve"> </w:t>
      </w:r>
      <w:r>
        <w:t xml:space="preserve">-</w:t>
      </w:r>
      <w:r>
        <w:t xml:space="preserve"> </w:t>
      </w:r>
      <w:r>
        <w:rPr>
          <w:b/>
          <w:bCs/>
        </w:rPr>
        <w:t xml:space="preserve">Hupyy</w:t>
      </w:r>
      <w:r>
        <w:t xml:space="preserve">: Automated formal verification (&lt; 1 minute, $10-50 amortized cost)</w:t>
      </w:r>
      <w:r>
        <w:t xml:space="preserve"> </w:t>
      </w:r>
      <w:r>
        <w:t xml:space="preserve">-</w:t>
      </w:r>
      <w:r>
        <w:t xml:space="preserve"> </w:t>
      </w:r>
      <w:r>
        <w:rPr>
          <w:b/>
          <w:bCs/>
        </w:rPr>
        <w:t xml:space="preserve">ROI</w:t>
      </w:r>
      <w:r>
        <w:t xml:space="preserve">:</w:t>
      </w:r>
      <w:r>
        <w:t xml:space="preserve"> </w:t>
      </w:r>
      <w:r>
        <w:rPr>
          <w:b/>
          <w:bCs/>
        </w:rPr>
        <w:t xml:space="preserve">4:1 to 60:1</w:t>
      </w:r>
      <w:r>
        <w:t xml:space="preserve"> </w:t>
      </w:r>
      <w:r>
        <w:t xml:space="preserve">on labor cost alone</w:t>
      </w:r>
      <w:r>
        <w:t xml:space="preserve"> </w:t>
      </w:r>
      <w:r>
        <w:t xml:space="preserve">-</w:t>
      </w:r>
      <w:r>
        <w:t xml:space="preserve"> </w:t>
      </w:r>
      <w:r>
        <w:rPr>
          <w:b/>
          <w:bCs/>
        </w:rPr>
        <w:t xml:space="preserve">Scalability</w:t>
      </w:r>
      <w:r>
        <w:t xml:space="preserve">: Software scales without headcount (competitor value proposition limited by metrologist availability)</w:t>
      </w:r>
    </w:p>
    <w:p>
      <w:pPr>
        <w:pStyle w:val="BodyText"/>
      </w:pPr>
      <w:r>
        <w:rPr>
          <w:b/>
          <w:bCs/>
        </w:rPr>
        <w:t xml:space="preserve">3. Completeness Guarantee</w:t>
      </w:r>
      <w:r>
        <w:t xml:space="preserve">:</w:t>
      </w:r>
      <w:r>
        <w:t xml:space="preserve"> </w:t>
      </w:r>
      <w:r>
        <w:t xml:space="preserve">-</w:t>
      </w:r>
      <w:r>
        <w:t xml:space="preserve"> </w:t>
      </w:r>
      <w:r>
        <w:rPr>
          <w:b/>
          <w:bCs/>
        </w:rPr>
        <w:t xml:space="preserve">Competitors</w:t>
      </w:r>
      <w:r>
        <w:t xml:space="preserve">: Checklist-based uncertainty budgets (rely on human memory)</w:t>
      </w:r>
      <w:r>
        <w:t xml:space="preserve"> </w:t>
      </w:r>
      <w:r>
        <w:t xml:space="preserve">-</w:t>
      </w:r>
      <w:r>
        <w:t xml:space="preserve"> </w:t>
      </w:r>
      <w:r>
        <w:rPr>
          <w:b/>
          <w:bCs/>
        </w:rPr>
        <w:t xml:space="preserve">Hupyy</w:t>
      </w:r>
      <w:r>
        <w:t xml:space="preserve">:</w:t>
      </w:r>
      <w:r>
        <w:t xml:space="preserve"> </w:t>
      </w:r>
      <w:r>
        <w:rPr>
          <w:b/>
          <w:bCs/>
        </w:rPr>
        <w:t xml:space="preserve">SMT solver enumerates all mathematical dependencies</w:t>
      </w:r>
      <w:r>
        <w:t xml:space="preserve"> </w:t>
      </w:r>
      <w:r>
        <w:t xml:space="preserve">(proves no contributors missing)</w:t>
      </w:r>
      <w:r>
        <w:t xml:space="preserve"> </w:t>
      </w:r>
      <w:r>
        <w:t xml:space="preserve">-</w:t>
      </w:r>
      <w:r>
        <w:t xml:space="preserve"> </w:t>
      </w:r>
      <w:r>
        <w:rPr>
          <w:b/>
          <w:bCs/>
        </w:rPr>
        <w:t xml:space="preserve">Risk Elimination</w:t>
      </w:r>
      <w:r>
        <w:t xml:space="preserve">: Missing uncertainty sources discovered only in audit failures or customer complaints (Hupyy prevents)</w:t>
      </w:r>
    </w:p>
    <w:p>
      <w:pPr>
        <w:pStyle w:val="BodyText"/>
      </w:pPr>
      <w:r>
        <w:rPr>
          <w:b/>
          <w:bCs/>
        </w:rPr>
        <w:t xml:space="preserve">4. Real-Time Verification</w:t>
      </w:r>
      <w:r>
        <w:t xml:space="preserve"> </w:t>
      </w:r>
      <w:r>
        <w:t xml:space="preserve">(Future Capability, Phase 3+):</w:t>
      </w:r>
      <w:r>
        <w:t xml:space="preserve"> </w:t>
      </w:r>
      <w:r>
        <w:t xml:space="preserve">-</w:t>
      </w:r>
      <w:r>
        <w:t xml:space="preserve"> </w:t>
      </w:r>
      <w:r>
        <w:rPr>
          <w:b/>
          <w:bCs/>
        </w:rPr>
        <w:t xml:space="preserve">Competitors</w:t>
      </w:r>
      <w:r>
        <w:t xml:space="preserve">: Batch process (calibrate → review → certificate)</w:t>
      </w:r>
      <w:r>
        <w:t xml:space="preserve"> </w:t>
      </w:r>
      <w:r>
        <w:t xml:space="preserve">-</w:t>
      </w:r>
      <w:r>
        <w:t xml:space="preserve"> </w:t>
      </w:r>
      <w:r>
        <w:rPr>
          <w:b/>
          <w:bCs/>
        </w:rPr>
        <w:t xml:space="preserve">Hupyy</w:t>
      </w:r>
      <w:r>
        <w:t xml:space="preserve">: Real-time verification during calibration execution</w:t>
      </w:r>
      <w:r>
        <w:t xml:space="preserve"> </w:t>
      </w:r>
      <w:r>
        <w:t xml:space="preserve">-</w:t>
      </w:r>
      <w:r>
        <w:t xml:space="preserve"> </w:t>
      </w:r>
      <w:r>
        <w:rPr>
          <w:b/>
          <w:bCs/>
        </w:rPr>
        <w:t xml:space="preserve">Industry 4.0 Integration</w:t>
      </w:r>
      <w:r>
        <w:t xml:space="preserve">: IoT-connected instruments, predictive calibration, automated quality gates</w:t>
      </w:r>
    </w:p>
    <w:bookmarkEnd w:id="19"/>
    <w:bookmarkStart w:id="20" w:name="competitive-moat-analysis"/>
    <w:p>
      <w:pPr>
        <w:pStyle w:val="Heading3"/>
      </w:pPr>
      <w:r>
        <w:rPr>
          <w:rStyle w:val="SectionNumber"/>
        </w:rPr>
        <w:t xml:space="preserve">1.4.3</w:t>
      </w:r>
      <w:r>
        <w:tab/>
      </w:r>
      <w:r>
        <w:t xml:space="preserve">Competitive Moat Analysis</w:t>
      </w:r>
    </w:p>
    <w:p>
      <w:pPr>
        <w:pStyle w:val="FirstParagraph"/>
      </w:pPr>
      <w:r>
        <w:rPr>
          <w:b/>
          <w:bCs/>
        </w:rPr>
        <w:t xml:space="preserve">Barrier #1: Technical Expertise</w:t>
      </w:r>
      <w:r>
        <w:t xml:space="preserve"> </w:t>
      </w:r>
      <w:r>
        <w:t xml:space="preserve">(High, 2-3 Year Lead)</w:t>
      </w:r>
      <w:r>
        <w:t xml:space="preserve"> </w:t>
      </w:r>
      <w:r>
        <w:t xml:space="preserve">-</w:t>
      </w:r>
      <w:r>
        <w:t xml:space="preserve"> </w:t>
      </w:r>
      <w:r>
        <w:rPr>
          <w:b/>
          <w:bCs/>
        </w:rPr>
        <w:t xml:space="preserve">Requirement</w:t>
      </w:r>
      <w:r>
        <w:t xml:space="preserve">: Deep expertise in</w:t>
      </w:r>
      <w:r>
        <w:t xml:space="preserve"> </w:t>
      </w:r>
      <w:r>
        <w:rPr>
          <w:b/>
          <w:bCs/>
        </w:rPr>
        <w:t xml:space="preserve">both</w:t>
      </w:r>
      <w:r>
        <w:t xml:space="preserve"> </w:t>
      </w:r>
      <w:r>
        <w:t xml:space="preserve">SMT solvers</w:t>
      </w:r>
      <w:r>
        <w:t xml:space="preserve"> </w:t>
      </w:r>
      <w:r>
        <w:rPr>
          <w:b/>
          <w:bCs/>
        </w:rPr>
        <w:t xml:space="preserve">and</w:t>
      </w:r>
      <w:r>
        <w:t xml:space="preserve"> </w:t>
      </w:r>
      <w:r>
        <w:t xml:space="preserve">metrology (rare combination)</w:t>
      </w:r>
      <w:r>
        <w:t xml:space="preserve"> </w:t>
      </w:r>
      <w:r>
        <w:t xml:space="preserve">-</w:t>
      </w:r>
      <w:r>
        <w:t xml:space="preserve"> </w:t>
      </w:r>
      <w:r>
        <w:rPr>
          <w:b/>
          <w:bCs/>
        </w:rPr>
        <w:t xml:space="preserve">Hupyy Advantage</w:t>
      </w:r>
      <w:r>
        <w:t xml:space="preserve">: Core SMT competency + SRS partnership for metrology knowledge</w:t>
      </w:r>
      <w:r>
        <w:t xml:space="preserve"> </w:t>
      </w:r>
      <w:r>
        <w:t xml:space="preserve">-</w:t>
      </w:r>
      <w:r>
        <w:t xml:space="preserve"> </w:t>
      </w:r>
      <w:r>
        <w:rPr>
          <w:b/>
          <w:bCs/>
        </w:rPr>
        <w:t xml:space="preserve">Competitor Challenge</w:t>
      </w:r>
      <w:r>
        <w:t xml:space="preserve">: Fluke/Keysight have metrology but lack SMT expertise</w:t>
      </w:r>
      <w:r>
        <w:t xml:space="preserve"> </w:t>
      </w:r>
      <w:r>
        <w:t xml:space="preserve">- Acquiring SMT talent: 2-3 years to build competitive team (specialized field)</w:t>
      </w:r>
      <w:r>
        <w:t xml:space="preserve"> </w:t>
      </w:r>
      <w:r>
        <w:t xml:space="preserve">- In-house R&amp;D: 3-5 years investment to match Hupyy’s capability</w:t>
      </w:r>
      <w:r>
        <w:t xml:space="preserve"> </w:t>
      </w:r>
      <w:r>
        <w:t xml:space="preserve">-</w:t>
      </w:r>
      <w:r>
        <w:t xml:space="preserve"> </w:t>
      </w:r>
      <w:r>
        <w:rPr>
          <w:b/>
          <w:bCs/>
        </w:rPr>
        <w:t xml:space="preserve">Lead Time</w:t>
      </w:r>
      <w:r>
        <w:t xml:space="preserve">: 2-3 years before credible competitive response</w:t>
      </w:r>
    </w:p>
    <w:p>
      <w:pPr>
        <w:pStyle w:val="BodyText"/>
      </w:pPr>
      <w:r>
        <w:rPr>
          <w:b/>
          <w:bCs/>
        </w:rPr>
        <w:t xml:space="preserve">Barrier #2: Regulatory Moat</w:t>
      </w:r>
      <w:r>
        <w:t xml:space="preserve"> </w:t>
      </w:r>
      <w:r>
        <w:t xml:space="preserve">(Very High Potential, 5+ Year Winner-Take-Most):</w:t>
      </w:r>
      <w:r>
        <w:t xml:space="preserve"> </w:t>
      </w:r>
      <w:r>
        <w:t xml:space="preserve">-</w:t>
      </w:r>
      <w:r>
        <w:t xml:space="preserve"> </w:t>
      </w:r>
      <w:r>
        <w:rPr>
          <w:b/>
          <w:bCs/>
        </w:rPr>
        <w:t xml:space="preserve">ISO 17025 / ILAC Recognition Path</w:t>
      </w:r>
      <w:r>
        <w:t xml:space="preserve">:</w:t>
      </w:r>
      <w:r>
        <w:t xml:space="preserve"> </w:t>
      </w:r>
      <w:r>
        <w:t xml:space="preserve">- Phase 1 (Month 6): A2LA pre-assessment validates approach</w:t>
      </w:r>
      <w:r>
        <w:t xml:space="preserve"> </w:t>
      </w:r>
      <w:r>
        <w:t xml:space="preserve">- Phase 2-3 (Month 7-16): Beta customer deployments, industry validation, peer-reviewed publications</w:t>
      </w:r>
      <w:r>
        <w:t xml:space="preserve"> </w:t>
      </w:r>
      <w:r>
        <w:t xml:space="preserve">- Phase 3 (Month 15-19): Full ISO 17025 accreditation with formal verification</w:t>
      </w:r>
      <w:r>
        <w:t xml:space="preserve"> </w:t>
      </w:r>
      <w:r>
        <w:t xml:space="preserve">- Phase 4+ (Year 2-5): Standards influence (ILAC policy participation, GUM supplement proposal, conference thought leadership)</w:t>
      </w:r>
      <w:r>
        <w:t xml:space="preserve"> </w:t>
      </w:r>
      <w:r>
        <w:t xml:space="preserve">-</w:t>
      </w:r>
      <w:r>
        <w:t xml:space="preserve"> </w:t>
      </w:r>
      <w:r>
        <w:rPr>
          <w:b/>
          <w:bCs/>
        </w:rPr>
        <w:t xml:space="preserve">Winner-Take-Most Scenario</w:t>
      </w:r>
      <w:r>
        <w:t xml:space="preserve">: If formal verification becomes</w:t>
      </w:r>
      <w:r>
        <w:t xml:space="preserve"> </w:t>
      </w:r>
      <w:r>
        <w:rPr>
          <w:b/>
          <w:bCs/>
        </w:rPr>
        <w:t xml:space="preserve">recognized or preferred</w:t>
      </w:r>
      <w:r>
        <w:t xml:space="preserve"> </w:t>
      </w:r>
      <w:r>
        <w:t xml:space="preserve">method in accreditation standards:</w:t>
      </w:r>
      <w:r>
        <w:t xml:space="preserve"> </w:t>
      </w:r>
      <w:r>
        <w:t xml:space="preserve">- Competitors must adopt Hupyy technology (license or acquisition)</w:t>
      </w:r>
      <w:r>
        <w:t xml:space="preserve"> </w:t>
      </w:r>
      <w:r>
        <w:t xml:space="preserve">- First-mover advantage locks in customer base during 3-5 year standards cycle</w:t>
      </w:r>
      <w:r>
        <w:t xml:space="preserve"> </w:t>
      </w:r>
      <w:r>
        <w:t xml:space="preserve">- Regulatory approval creates high switching costs</w:t>
      </w:r>
      <w:r>
        <w:t xml:space="preserve"> </w:t>
      </w:r>
      <w:r>
        <w:t xml:space="preserve">-</w:t>
      </w:r>
      <w:r>
        <w:t xml:space="preserve"> </w:t>
      </w:r>
      <w:r>
        <w:rPr>
          <w:b/>
          <w:bCs/>
        </w:rPr>
        <w:t xml:space="preserve">Moat Strength</w:t>
      </w:r>
      <w:r>
        <w:t xml:space="preserve">: Exceptional potential but requires 3-5 year standards acceptance timeline</w:t>
      </w:r>
    </w:p>
    <w:p>
      <w:pPr>
        <w:pStyle w:val="BodyText"/>
      </w:pPr>
      <w:r>
        <w:rPr>
          <w:b/>
          <w:bCs/>
        </w:rPr>
        <w:t xml:space="preserve">Barrier #3: Intellectual Property</w:t>
      </w:r>
      <w:r>
        <w:t xml:space="preserve"> </w:t>
      </w:r>
      <w:r>
        <w:t xml:space="preserve">(Medium-High):</w:t>
      </w:r>
      <w:r>
        <w:t xml:space="preserve"> </w:t>
      </w:r>
      <w:r>
        <w:t xml:space="preserve">-</w:t>
      </w:r>
      <w:r>
        <w:t xml:space="preserve"> </w:t>
      </w:r>
      <w:r>
        <w:rPr>
          <w:b/>
          <w:bCs/>
        </w:rPr>
        <w:t xml:space="preserve">Patent Strategy</w:t>
      </w:r>
      <w:r>
        <w:t xml:space="preserve">: SMT solver application to calibration uncertainty quantification (method patents)</w:t>
      </w:r>
      <w:r>
        <w:t xml:space="preserve"> </w:t>
      </w:r>
      <w:r>
        <w:t xml:space="preserve">-</w:t>
      </w:r>
      <w:r>
        <w:t xml:space="preserve"> </w:t>
      </w:r>
      <w:r>
        <w:rPr>
          <w:b/>
          <w:bCs/>
        </w:rPr>
        <w:t xml:space="preserve">Trade Secrets</w:t>
      </w:r>
      <w:r>
        <w:t xml:space="preserve">: Verification algorithms, solver optimization heuristics, domain-specific templates</w:t>
      </w:r>
      <w:r>
        <w:t xml:space="preserve"> </w:t>
      </w:r>
      <w:r>
        <w:t xml:space="preserve">-</w:t>
      </w:r>
      <w:r>
        <w:t xml:space="preserve"> </w:t>
      </w:r>
      <w:r>
        <w:rPr>
          <w:b/>
          <w:bCs/>
        </w:rPr>
        <w:t xml:space="preserve">Copyright</w:t>
      </w:r>
      <w:r>
        <w:t xml:space="preserve">: Software implementation, calibration procedure library</w:t>
      </w:r>
      <w:r>
        <w:t xml:space="preserve"> </w:t>
      </w:r>
      <w:r>
        <w:t xml:space="preserve">-</w:t>
      </w:r>
      <w:r>
        <w:t xml:space="preserve"> </w:t>
      </w:r>
      <w:r>
        <w:rPr>
          <w:b/>
          <w:bCs/>
        </w:rPr>
        <w:t xml:space="preserve">Assessment</w:t>
      </w:r>
      <w:r>
        <w:t xml:space="preserve">: Strong but not insurmountable (competitors could design around with effort, but adds 12-18 month delay)</w:t>
      </w:r>
    </w:p>
    <w:p>
      <w:pPr>
        <w:pStyle w:val="BodyText"/>
      </w:pPr>
      <w:r>
        <w:rPr>
          <w:b/>
          <w:bCs/>
        </w:rPr>
        <w:t xml:space="preserve">Barrier #4: Partnership Exclusivity</w:t>
      </w:r>
      <w:r>
        <w:t xml:space="preserve"> </w:t>
      </w:r>
      <w:r>
        <w:t xml:space="preserve">(High):</w:t>
      </w:r>
      <w:r>
        <w:t xml:space="preserve"> </w:t>
      </w:r>
      <w:r>
        <w:t xml:space="preserve">-</w:t>
      </w:r>
      <w:r>
        <w:t xml:space="preserve"> </w:t>
      </w:r>
      <w:r>
        <w:rPr>
          <w:b/>
          <w:bCs/>
        </w:rPr>
        <w:t xml:space="preserve">SRS Competitive Protection</w:t>
      </w:r>
      <w:r>
        <w:t xml:space="preserve">: Partnership agreement likely includes exclusivity or semi-exclusivity clauses</w:t>
      </w:r>
      <w:r>
        <w:t xml:space="preserve"> </w:t>
      </w:r>
      <w:r>
        <w:t xml:space="preserve">- SRS does not want competitors (Fluke, Keysight instrument divisions) getting same capability</w:t>
      </w:r>
      <w:r>
        <w:t xml:space="preserve"> </w:t>
      </w:r>
      <w:r>
        <w:t xml:space="preserve">- Revenue sharing or per-unit licensing aligns incentives for SRS to promote Hupyy solution</w:t>
      </w:r>
      <w:r>
        <w:t xml:space="preserve"> </w:t>
      </w:r>
      <w:r>
        <w:t xml:space="preserve">-</w:t>
      </w:r>
      <w:r>
        <w:t xml:space="preserve"> </w:t>
      </w:r>
      <w:r>
        <w:rPr>
          <w:b/>
          <w:bCs/>
        </w:rPr>
        <w:t xml:space="preserve">OEM Replication</w:t>
      </w:r>
      <w:r>
        <w:t xml:space="preserve">: Other precision instrument OEMs (Tektronix, Rohde &amp; Schwarz) seek similar competitive advantage</w:t>
      </w:r>
      <w:r>
        <w:t xml:space="preserve"> </w:t>
      </w:r>
      <w:r>
        <w:t xml:space="preserve">- Each OEM partnership potentially exclusive or category-exclusive (e.g., Hupyy exclusive for atomic frequency standards)</w:t>
      </w:r>
      <w:r>
        <w:t xml:space="preserve"> </w:t>
      </w:r>
      <w:r>
        <w:t xml:space="preserve">-</w:t>
      </w:r>
      <w:r>
        <w:t xml:space="preserve"> </w:t>
      </w:r>
      <w:r>
        <w:rPr>
          <w:b/>
          <w:bCs/>
        </w:rPr>
        <w:t xml:space="preserve">First-Mover Advantage</w:t>
      </w:r>
      <w:r>
        <w:t xml:space="preserve">: Early OEM partnerships create network effects (broader instrument coverage attracts calibration labs)</w:t>
      </w:r>
    </w:p>
    <w:p>
      <w:pPr>
        <w:pStyle w:val="BodyText"/>
      </w:pPr>
      <w:r>
        <w:rPr>
          <w:b/>
          <w:bCs/>
        </w:rPr>
        <w:t xml:space="preserve">Competitive Response Timeline</w:t>
      </w:r>
      <w:r>
        <w:t xml:space="preserve"> </w:t>
      </w:r>
      <w:r>
        <w:t xml:space="preserve">(Anticipated):</w:t>
      </w:r>
      <w:r>
        <w:t xml:space="preserve"> </w:t>
      </w:r>
      <w:r>
        <w:t xml:space="preserve">-</w:t>
      </w:r>
      <w:r>
        <w:t xml:space="preserve"> </w:t>
      </w:r>
      <w:r>
        <w:rPr>
          <w:b/>
          <w:bCs/>
        </w:rPr>
        <w:t xml:space="preserve">Years 1-2 (Phase 1-2)</w:t>
      </w:r>
      <w:r>
        <w:t xml:space="preserve">: Ignore - Hupyy too small, ultra-precision niche unimportant to incumbents</w:t>
      </w:r>
      <w:r>
        <w:t xml:space="preserve"> </w:t>
      </w:r>
      <w:r>
        <w:t xml:space="preserve">-</w:t>
      </w:r>
      <w:r>
        <w:t xml:space="preserve"> </w:t>
      </w:r>
      <w:r>
        <w:rPr>
          <w:b/>
          <w:bCs/>
        </w:rPr>
        <w:t xml:space="preserve">Years 2-3 (Phase 3)</w:t>
      </w:r>
      <w:r>
        <w:t xml:space="preserve">: Watch - Industry buzz at conferences, reference customers, but no action yet</w:t>
      </w:r>
      <w:r>
        <w:t xml:space="preserve"> </w:t>
      </w:r>
      <w:r>
        <w:t xml:space="preserve">-</w:t>
      </w:r>
      <w:r>
        <w:t xml:space="preserve"> </w:t>
      </w:r>
      <w:r>
        <w:rPr>
          <w:b/>
          <w:bCs/>
        </w:rPr>
        <w:t xml:space="preserve">Years 3-5</w:t>
      </w:r>
      <w:r>
        <w:t xml:space="preserve">: Respond - Fluke/Keysight attempt to acquire, partner, or build competitive solution</w:t>
      </w:r>
      <w:r>
        <w:t xml:space="preserve"> </w:t>
      </w:r>
      <w:r>
        <w:t xml:space="preserve">-</w:t>
      </w:r>
      <w:r>
        <w:t xml:space="preserve"> </w:t>
      </w:r>
      <w:r>
        <w:rPr>
          <w:b/>
          <w:bCs/>
        </w:rPr>
        <w:t xml:space="preserve">Acquisition scenario</w:t>
      </w:r>
      <w:r>
        <w:t xml:space="preserve">: 30-40% probability, potentially favorable exit for Hupyy/SRS</w:t>
      </w:r>
      <w:r>
        <w:t xml:space="preserve"> </w:t>
      </w:r>
      <w:r>
        <w:t xml:space="preserve">-</w:t>
      </w:r>
      <w:r>
        <w:t xml:space="preserve"> </w:t>
      </w:r>
      <w:r>
        <w:rPr>
          <w:b/>
          <w:bCs/>
        </w:rPr>
        <w:t xml:space="preserve">Partnership scenario</w:t>
      </w:r>
      <w:r>
        <w:t xml:space="preserve">: Integration with MET/CAL (accelerates market adoption but requires careful IP protection)</w:t>
      </w:r>
      <w:r>
        <w:t xml:space="preserve"> </w:t>
      </w:r>
      <w:r>
        <w:t xml:space="preserve">-</w:t>
      </w:r>
      <w:r>
        <w:t xml:space="preserve"> </w:t>
      </w:r>
      <w:r>
        <w:rPr>
          <w:b/>
          <w:bCs/>
        </w:rPr>
        <w:t xml:space="preserve">Build scenario</w:t>
      </w:r>
      <w:r>
        <w:t xml:space="preserve">: Incumbent hires SMT team, develops competing solution (3-5 year timeline to parity)</w:t>
      </w:r>
    </w:p>
    <w:p>
      <w:pPr>
        <w:pStyle w:val="BodyText"/>
      </w:pPr>
      <w:r>
        <w:rPr>
          <w:b/>
          <w:bCs/>
        </w:rPr>
        <w:t xml:space="preserve">Long-Term Defensibility</w:t>
      </w:r>
      <w:r>
        <w:t xml:space="preserve"> </w:t>
      </w:r>
      <w:r>
        <w:t xml:space="preserve">(7-10 years):</w:t>
      </w:r>
      <w:r>
        <w:t xml:space="preserve"> </w:t>
      </w:r>
      <w:r>
        <w:t xml:space="preserve">-</w:t>
      </w:r>
      <w:r>
        <w:t xml:space="preserve"> </w:t>
      </w:r>
      <w:r>
        <w:rPr>
          <w:b/>
          <w:bCs/>
        </w:rPr>
        <w:t xml:space="preserve">Commoditization Risk</w:t>
      </w:r>
      <w:r>
        <w:t xml:space="preserve">: If formal verification becomes table stakes, pricing power erodes</w:t>
      </w:r>
      <w:r>
        <w:t xml:space="preserve"> </w:t>
      </w:r>
      <w:r>
        <w:t xml:space="preserve">-</w:t>
      </w:r>
      <w:r>
        <w:t xml:space="preserve"> </w:t>
      </w:r>
      <w:r>
        <w:rPr>
          <w:b/>
          <w:bCs/>
        </w:rPr>
        <w:t xml:space="preserve">Mitigation</w:t>
      </w:r>
      <w:r>
        <w:t xml:space="preserve">: Continuous R&amp;D investment (digital twin verification, AI-assisted uncertainty optimization, blockchain certificate registry), regulatory moat maintenance</w:t>
      </w:r>
    </w:p>
    <w:p>
      <w:r>
        <w:pict>
          <v:rect style="width:0;height:1.5pt" o:hralign="center" o:hrstd="t" o:hr="t"/>
        </w:pict>
      </w:r>
    </w:p>
    <w:bookmarkEnd w:id="20"/>
    <w:bookmarkEnd w:id="21"/>
    <w:bookmarkStart w:id="24" w:name="financial-viability"/>
    <w:p>
      <w:pPr>
        <w:pStyle w:val="Heading2"/>
      </w:pPr>
      <w:r>
        <w:rPr>
          <w:rStyle w:val="SectionNumber"/>
        </w:rPr>
        <w:t xml:space="preserve">1.5</w:t>
      </w:r>
      <w:r>
        <w:tab/>
      </w:r>
      <w:r>
        <w:t xml:space="preserve">Financial Viability</w:t>
      </w:r>
    </w:p>
    <w:bookmarkStart w:id="22" w:name="investment-requirements"/>
    <w:p>
      <w:pPr>
        <w:pStyle w:val="Heading3"/>
      </w:pPr>
      <w:r>
        <w:rPr>
          <w:rStyle w:val="SectionNumber"/>
        </w:rPr>
        <w:t xml:space="preserve">1.5.1</w:t>
      </w:r>
      <w:r>
        <w:tab/>
      </w:r>
      <w:r>
        <w:t xml:space="preserve">Investment Requirements</w:t>
      </w:r>
    </w:p>
    <w:p>
      <w:pPr>
        <w:pStyle w:val="FirstParagraph"/>
      </w:pPr>
      <w:r>
        <w:rPr>
          <w:b/>
          <w:bCs/>
        </w:rPr>
        <w:t xml:space="preserve">Total 16-Month Investment</w:t>
      </w:r>
      <w:r>
        <w:t xml:space="preserve">:</w:t>
      </w:r>
      <w:r>
        <w:t xml:space="preserve"> </w:t>
      </w:r>
      <w:r>
        <w:rPr>
          <w:b/>
          <w:bCs/>
        </w:rPr>
        <w:t xml:space="preserve">$830,000</w:t>
      </w:r>
    </w:p>
    <w:p>
      <w:pPr>
        <w:pStyle w:val="BodyText"/>
      </w:pPr>
      <w:r>
        <w:rPr>
          <w:b/>
          <w:bCs/>
        </w:rPr>
        <w:t xml:space="preserve">Phase 1: FS725 Pilot</w:t>
      </w:r>
      <w:r>
        <w:t xml:space="preserve"> </w:t>
      </w:r>
      <w:r>
        <w:t xml:space="preserve">(6 months, $250K):</w:t>
      </w:r>
      <w:r>
        <w:t xml:space="preserve"> </w:t>
      </w:r>
      <w:r>
        <w:t xml:space="preserve">- Personnel (74%): $185K (3.75 FTE: SMT engineer, metrology engineer, software dev, QA, PM, tech writer)</w:t>
      </w:r>
      <w:r>
        <w:t xml:space="preserve"> </w:t>
      </w:r>
      <w:r>
        <w:t xml:space="preserve">- Equipment (14%): $35K (FS725 test units, Keysight 53230A frequency counter, environmental sensors, computing)</w:t>
      </w:r>
      <w:r>
        <w:t xml:space="preserve"> </w:t>
      </w:r>
      <w:r>
        <w:t xml:space="preserve">- External expertise (11.6%): $29K (NIST collaboration $15K, A2LA pre-assessment $8K, metrology consultant $6K)</w:t>
      </w:r>
      <w:r>
        <w:t xml:space="preserve"> </w:t>
      </w:r>
      <w:r>
        <w:t xml:space="preserve">- Software/tools (2%): $5K (SMT solver licenses if needed, MATLAB/analysis tools)</w:t>
      </w:r>
      <w:r>
        <w:t xml:space="preserve"> </w:t>
      </w:r>
      <w:r>
        <w:t xml:space="preserve">- Travel (4%): $10K (Hupyy-SRS site visits, NIST meetings)</w:t>
      </w:r>
      <w:r>
        <w:t xml:space="preserve"> </w:t>
      </w:r>
      <w:r>
        <w:t xml:space="preserve">- Contingency (2.4%): $6K</w:t>
      </w:r>
    </w:p>
    <w:p>
      <w:pPr>
        <w:pStyle w:val="BodyText"/>
      </w:pPr>
      <w:r>
        <w:rPr>
          <w:b/>
          <w:bCs/>
        </w:rPr>
        <w:t xml:space="preserve">Phase 2: SR860 &amp; RGA Expansion</w:t>
      </w:r>
      <w:r>
        <w:t xml:space="preserve"> </w:t>
      </w:r>
      <w:r>
        <w:t xml:space="preserve">(4 months, $180K):</w:t>
      </w:r>
      <w:r>
        <w:t xml:space="preserve"> </w:t>
      </w:r>
      <w:r>
        <w:t xml:space="preserve">- Personnel (75%): $135K (5.55 FTE: +RGA specialist, +field apps engineer)</w:t>
      </w:r>
      <w:r>
        <w:t xml:space="preserve"> </w:t>
      </w:r>
      <w:r>
        <w:t xml:space="preserve">- Equipment (14%): $25K (SR860/RGA-specific test equipment)</w:t>
      </w:r>
      <w:r>
        <w:t xml:space="preserve"> </w:t>
      </w:r>
      <w:r>
        <w:t xml:space="preserve">- External services (6%): $11K (beta customer support, additional validation)</w:t>
      </w:r>
      <w:r>
        <w:t xml:space="preserve"> </w:t>
      </w:r>
      <w:r>
        <w:t xml:space="preserve">- Software/cloud (3%): $5K (cloud infrastructure pilot)</w:t>
      </w:r>
      <w:r>
        <w:t xml:space="preserve"> </w:t>
      </w:r>
      <w:r>
        <w:t xml:space="preserve">- Contingency (2%): $4K</w:t>
      </w:r>
    </w:p>
    <w:p>
      <w:pPr>
        <w:pStyle w:val="BodyText"/>
      </w:pPr>
      <w:r>
        <w:rPr>
          <w:b/>
          <w:bCs/>
        </w:rPr>
        <w:t xml:space="preserve">Phase 3: Commercial Launch</w:t>
      </w:r>
      <w:r>
        <w:t xml:space="preserve"> </w:t>
      </w:r>
      <w:r>
        <w:t xml:space="preserve">(6 months, $400K):</w:t>
      </w:r>
      <w:r>
        <w:t xml:space="preserve"> </w:t>
      </w:r>
      <w:r>
        <w:t xml:space="preserve">- Personnel (68%): $270K (13 FTE: +engineering manager, +2 SMT engineers, +2 software engineers, +DevOps, +customer success)</w:t>
      </w:r>
      <w:r>
        <w:t xml:space="preserve"> </w:t>
      </w:r>
      <w:r>
        <w:t xml:space="preserve">- Cloud infrastructure (12%): $48K (AWS/Azure production setup, multi-tenant architecture)</w:t>
      </w:r>
      <w:r>
        <w:t xml:space="preserve"> </w:t>
      </w:r>
      <w:r>
        <w:t xml:space="preserve">- Marketing/sales (10%): $40K (commercial launch campaign, customer acquisition, sales collateral)</w:t>
      </w:r>
      <w:r>
        <w:t xml:space="preserve"> </w:t>
      </w:r>
      <w:r>
        <w:t xml:space="preserve">- ISO 17025 accreditation (5%): $20K (full A2LA assessment, potential reassessment if findings)</w:t>
      </w:r>
      <w:r>
        <w:t xml:space="preserve"> </w:t>
      </w:r>
      <w:r>
        <w:t xml:space="preserve">- External services (3%): $12K (legal, compliance consulting)</w:t>
      </w:r>
      <w:r>
        <w:t xml:space="preserve"> </w:t>
      </w:r>
      <w:r>
        <w:t xml:space="preserve">- Contingency (2%): $10K</w:t>
      </w:r>
    </w:p>
    <w:p>
      <w:pPr>
        <w:pStyle w:val="BodyText"/>
      </w:pPr>
      <w:r>
        <w:rPr>
          <w:b/>
          <w:bCs/>
        </w:rPr>
        <w:t xml:space="preserve">Budget Adequacy Assessment</w:t>
      </w:r>
      <w:r>
        <w:t xml:space="preserve">:</w:t>
      </w:r>
    </w:p>
    <w:p>
      <w:pPr>
        <w:pStyle w:val="BodyText"/>
      </w:pPr>
      <w:r>
        <w:rPr>
          <w:b/>
          <w:bCs/>
        </w:rPr>
        <w:t xml:space="preserve">Strengths</w:t>
      </w:r>
      <w:r>
        <w:t xml:space="preserve">:</w:t>
      </w:r>
      <w:r>
        <w:t xml:space="preserve"> </w:t>
      </w:r>
      <w:r>
        <w:t xml:space="preserve">-</w:t>
      </w:r>
      <w:r>
        <w:t xml:space="preserve"> </w:t>
      </w:r>
      <w:r>
        <w:rPr>
          <w:b/>
          <w:bCs/>
        </w:rPr>
        <w:t xml:space="preserve">Phased Deployment</w:t>
      </w:r>
      <w:r>
        <w:t xml:space="preserve">: Front-loads validation (Phase 1 = 30% of budget validates core technology before major scaling)</w:t>
      </w:r>
      <w:r>
        <w:t xml:space="preserve"> </w:t>
      </w:r>
      <w:r>
        <w:t xml:space="preserve">-</w:t>
      </w:r>
      <w:r>
        <w:t xml:space="preserve"> </w:t>
      </w:r>
      <w:r>
        <w:rPr>
          <w:b/>
          <w:bCs/>
        </w:rPr>
        <w:t xml:space="preserve">Reasonable Burn Rate</w:t>
      </w:r>
      <w:r>
        <w:t xml:space="preserve">: $830K ÷ 16 months = $52K/month (appropriate for 4-13 person team with equipment)</w:t>
      </w:r>
      <w:r>
        <w:t xml:space="preserve"> </w:t>
      </w:r>
      <w:r>
        <w:t xml:space="preserve">-</w:t>
      </w:r>
      <w:r>
        <w:t xml:space="preserve"> </w:t>
      </w:r>
      <w:r>
        <w:rPr>
          <w:b/>
          <w:bCs/>
        </w:rPr>
        <w:t xml:space="preserve">Contingency</w:t>
      </w:r>
      <w:r>
        <w:t xml:space="preserve">: $20K total (2.4% of overall budget) is modest but Phase 1-2 have go/no-go gates allowing course correction</w:t>
      </w:r>
    </w:p>
    <w:p>
      <w:pPr>
        <w:pStyle w:val="BodyText"/>
      </w:pPr>
      <w:r>
        <w:rPr>
          <w:b/>
          <w:bCs/>
        </w:rPr>
        <w:t xml:space="preserve">Risks</w:t>
      </w:r>
      <w:r>
        <w:t xml:space="preserve">:</w:t>
      </w:r>
      <w:r>
        <w:t xml:space="preserve"> </w:t>
      </w:r>
      <w:r>
        <w:t xml:space="preserve">-</w:t>
      </w:r>
      <w:r>
        <w:t xml:space="preserve"> </w:t>
      </w:r>
      <w:r>
        <w:rPr>
          <w:b/>
          <w:bCs/>
        </w:rPr>
        <w:t xml:space="preserve">Personnel Cost Assumptions</w:t>
      </w:r>
      <w:r>
        <w:t xml:space="preserve">: Assumes $100-120K/year loaded cost for engineers</w:t>
      </w:r>
      <w:r>
        <w:t xml:space="preserve"> </w:t>
      </w:r>
      <w:r>
        <w:t xml:space="preserve">-</w:t>
      </w:r>
      <w:r>
        <w:t xml:space="preserve"> </w:t>
      </w:r>
      <w:r>
        <w:rPr>
          <w:b/>
          <w:bCs/>
        </w:rPr>
        <w:t xml:space="preserve">Risk</w:t>
      </w:r>
      <w:r>
        <w:t xml:space="preserve">: SMT solver experts and metrologists command 15-25% premiums in competitive talent market</w:t>
      </w:r>
      <w:r>
        <w:t xml:space="preserve"> </w:t>
      </w:r>
      <w:r>
        <w:t xml:space="preserve">-</w:t>
      </w:r>
      <w:r>
        <w:t xml:space="preserve"> </w:t>
      </w:r>
      <w:r>
        <w:rPr>
          <w:b/>
          <w:bCs/>
        </w:rPr>
        <w:t xml:space="preserve">Mitigation</w:t>
      </w:r>
      <w:r>
        <w:t xml:space="preserve">: Contractor support for peak needs, offshore development for non-critical components, heavy SRS partnership leverage (0.5-4.5 FTE contribution reduces Hupyy hiring)</w:t>
      </w:r>
      <w:r>
        <w:t xml:space="preserve"> </w:t>
      </w:r>
      <w:r>
        <w:t xml:space="preserve">-</w:t>
      </w:r>
      <w:r>
        <w:t xml:space="preserve"> </w:t>
      </w:r>
      <w:r>
        <w:rPr>
          <w:b/>
          <w:bCs/>
        </w:rPr>
        <w:t xml:space="preserve">Scope Creep</w:t>
      </w:r>
      <w:r>
        <w:t xml:space="preserve">: ISO 17025 corrective actions or customer feature requests may expand scope</w:t>
      </w:r>
      <w:r>
        <w:t xml:space="preserve"> </w:t>
      </w:r>
      <w:r>
        <w:t xml:space="preserve">-</w:t>
      </w:r>
      <w:r>
        <w:t xml:space="preserve"> </w:t>
      </w:r>
      <w:r>
        <w:rPr>
          <w:b/>
          <w:bCs/>
        </w:rPr>
        <w:t xml:space="preserve">Risk</w:t>
      </w:r>
      <w:r>
        <w:t xml:space="preserve">: Additional $20-50K for extended validation or regulatory compliance work</w:t>
      </w:r>
      <w:r>
        <w:t xml:space="preserve"> </w:t>
      </w:r>
      <w:r>
        <w:t xml:space="preserve">-</w:t>
      </w:r>
      <w:r>
        <w:t xml:space="preserve"> </w:t>
      </w:r>
      <w:r>
        <w:rPr>
          <w:b/>
          <w:bCs/>
        </w:rPr>
        <w:t xml:space="preserve">Mitigation</w:t>
      </w:r>
      <w:r>
        <w:t xml:space="preserve">: Change control process, contingency budget, option to extend Phase 3 by 1-2 months if needed</w:t>
      </w:r>
      <w:r>
        <w:t xml:space="preserve"> </w:t>
      </w:r>
      <w:r>
        <w:t xml:space="preserve">-</w:t>
      </w:r>
      <w:r>
        <w:t xml:space="preserve"> </w:t>
      </w:r>
      <w:r>
        <w:rPr>
          <w:b/>
          <w:bCs/>
        </w:rPr>
        <w:t xml:space="preserve">Equipment Failures</w:t>
      </w:r>
      <w:r>
        <w:t xml:space="preserve">: Precision test equipment can fail ($10-20K unbudgeted replacements)</w:t>
      </w:r>
      <w:r>
        <w:t xml:space="preserve"> </w:t>
      </w:r>
      <w:r>
        <w:t xml:space="preserve">-</w:t>
      </w:r>
      <w:r>
        <w:t xml:space="preserve"> </w:t>
      </w:r>
      <w:r>
        <w:rPr>
          <w:b/>
          <w:bCs/>
        </w:rPr>
        <w:t xml:space="preserve">Mitigation</w:t>
      </w:r>
      <w:r>
        <w:t xml:space="preserve">: Use SRS equipment where possible, $10K equipment contingency in Phase 1</w:t>
      </w:r>
    </w:p>
    <w:p>
      <w:pPr>
        <w:pStyle w:val="BodyText"/>
      </w:pPr>
      <w:r>
        <w:rPr>
          <w:b/>
          <w:bCs/>
        </w:rPr>
        <w:t xml:space="preserve">Overall Assessment</w:t>
      </w:r>
      <w:r>
        <w:t xml:space="preserve">: Budget is</w:t>
      </w:r>
      <w:r>
        <w:t xml:space="preserve"> </w:t>
      </w:r>
      <w:r>
        <w:rPr>
          <w:b/>
          <w:bCs/>
        </w:rPr>
        <w:t xml:space="preserve">adequate but not generous</w:t>
      </w:r>
      <w:r>
        <w:t xml:space="preserve">. Execution discipline required. Overruns &gt; 20% ($166K) may require additional fundraising or SRS co-investment.</w:t>
      </w:r>
    </w:p>
    <w:bookmarkEnd w:id="22"/>
    <w:bookmarkStart w:id="23" w:name="return-on-investment-analysis"/>
    <w:p>
      <w:pPr>
        <w:pStyle w:val="Heading3"/>
      </w:pPr>
      <w:r>
        <w:rPr>
          <w:rStyle w:val="SectionNumber"/>
        </w:rPr>
        <w:t xml:space="preserve">1.5.2</w:t>
      </w:r>
      <w:r>
        <w:tab/>
      </w:r>
      <w:r>
        <w:t xml:space="preserve">Return on Investment Analysis</w:t>
      </w:r>
    </w:p>
    <w:p>
      <w:pPr>
        <w:pStyle w:val="FirstParagraph"/>
      </w:pPr>
      <w:r>
        <w:rPr>
          <w:b/>
          <w:bCs/>
        </w:rPr>
        <w:t xml:space="preserve">Revenue Projections</w:t>
      </w:r>
      <w:r>
        <w:t xml:space="preserve"> </w:t>
      </w:r>
      <w:r>
        <w:t xml:space="preserve">(Conservative Scenario):</w:t>
      </w:r>
      <w:r>
        <w:t xml:space="preserve"> </w:t>
      </w:r>
      <w:r>
        <w:t xml:space="preserve">-</w:t>
      </w:r>
      <w:r>
        <w:t xml:space="preserve"> </w:t>
      </w:r>
      <w:r>
        <w:rPr>
          <w:b/>
          <w:bCs/>
        </w:rPr>
        <w:t xml:space="preserve">Year 1</w:t>
      </w:r>
      <w:r>
        <w:t xml:space="preserve">: $3.3M (primarily SRS OEM integration fee $2M + initial licenses $1.3M)</w:t>
      </w:r>
      <w:r>
        <w:t xml:space="preserve"> </w:t>
      </w:r>
      <w:r>
        <w:t xml:space="preserve">-</w:t>
      </w:r>
      <w:r>
        <w:t xml:space="preserve"> </w:t>
      </w:r>
      <w:r>
        <w:rPr>
          <w:b/>
          <w:bCs/>
        </w:rPr>
        <w:t xml:space="preserve">Year 5</w:t>
      </w:r>
      <w:r>
        <w:t xml:space="preserve">: $29M (diversified: licenses $6M, maintenance $6M, OEM fees $8M, enterprise $6.5M, services $2.5M)</w:t>
      </w:r>
      <w:r>
        <w:t xml:space="preserve"> </w:t>
      </w:r>
      <w:r>
        <w:t xml:space="preserve">-</w:t>
      </w:r>
      <w:r>
        <w:t xml:space="preserve"> </w:t>
      </w:r>
      <w:r>
        <w:rPr>
          <w:b/>
          <w:bCs/>
        </w:rPr>
        <w:t xml:space="preserve">5-Year Cumulative</w:t>
      </w:r>
      <w:r>
        <w:t xml:space="preserve">: ~$75M (conservative estimate accounting for ramp)</w:t>
      </w:r>
    </w:p>
    <w:p>
      <w:pPr>
        <w:pStyle w:val="BodyText"/>
      </w:pPr>
      <w:r>
        <w:rPr>
          <w:b/>
          <w:bCs/>
        </w:rPr>
        <w:t xml:space="preserve">ROI Calculation</w:t>
      </w:r>
      <w:r>
        <w:t xml:space="preserve">:</w:t>
      </w:r>
      <w:r>
        <w:t xml:space="preserve"> </w:t>
      </w:r>
      <w:r>
        <w:t xml:space="preserve">-</w:t>
      </w:r>
      <w:r>
        <w:t xml:space="preserve"> </w:t>
      </w:r>
      <w:r>
        <w:rPr>
          <w:b/>
          <w:bCs/>
        </w:rPr>
        <w:t xml:space="preserve">Investment</w:t>
      </w:r>
      <w:r>
        <w:t xml:space="preserve">: $830K (16-month development)</w:t>
      </w:r>
      <w:r>
        <w:t xml:space="preserve"> </w:t>
      </w:r>
      <w:r>
        <w:t xml:space="preserve">-</w:t>
      </w:r>
      <w:r>
        <w:t xml:space="preserve"> </w:t>
      </w:r>
      <w:r>
        <w:rPr>
          <w:b/>
          <w:bCs/>
        </w:rPr>
        <w:t xml:space="preserve">Year 5 Annual Revenue</w:t>
      </w:r>
      <w:r>
        <w:t xml:space="preserve">: $29-45M (conservative to optimistic)</w:t>
      </w:r>
      <w:r>
        <w:t xml:space="preserve"> </w:t>
      </w:r>
      <w:r>
        <w:t xml:space="preserve">-</w:t>
      </w:r>
      <w:r>
        <w:t xml:space="preserve"> </w:t>
      </w:r>
      <w:r>
        <w:rPr>
          <w:b/>
          <w:bCs/>
        </w:rPr>
        <w:t xml:space="preserve">ROI Ratio</w:t>
      </w:r>
      <w:r>
        <w:t xml:space="preserve">:</w:t>
      </w:r>
      <w:r>
        <w:t xml:space="preserve"> </w:t>
      </w:r>
      <w:r>
        <w:rPr>
          <w:b/>
          <w:bCs/>
        </w:rPr>
        <w:t xml:space="preserve">35:1 to 54:1</w:t>
      </w:r>
    </w:p>
    <w:p>
      <w:pPr>
        <w:pStyle w:val="BodyText"/>
      </w:pPr>
      <w:r>
        <w:rPr>
          <w:b/>
          <w:bCs/>
        </w:rPr>
        <w:t xml:space="preserve">Profitability Analysis</w:t>
      </w:r>
      <w:r>
        <w:t xml:space="preserve">:</w:t>
      </w:r>
      <w:r>
        <w:t xml:space="preserve"> </w:t>
      </w:r>
      <w:r>
        <w:t xml:space="preserve">-</w:t>
      </w:r>
      <w:r>
        <w:t xml:space="preserve"> </w:t>
      </w:r>
      <w:r>
        <w:rPr>
          <w:b/>
          <w:bCs/>
        </w:rPr>
        <w:t xml:space="preserve">Gross Margin</w:t>
      </w:r>
      <w:r>
        <w:t xml:space="preserve">: 70-75% blended (enterprise software typical)</w:t>
      </w:r>
      <w:r>
        <w:t xml:space="preserve"> </w:t>
      </w:r>
      <w:r>
        <w:t xml:space="preserve">-</w:t>
      </w:r>
      <w:r>
        <w:t xml:space="preserve"> </w:t>
      </w:r>
      <w:r>
        <w:rPr>
          <w:b/>
          <w:bCs/>
        </w:rPr>
        <w:t xml:space="preserve">Year 5 Gross Profit</w:t>
      </w:r>
      <w:r>
        <w:t xml:space="preserve">: $20-34M (at 70-75% margin on $29-45M revenue)</w:t>
      </w:r>
      <w:r>
        <w:t xml:space="preserve"> </w:t>
      </w:r>
      <w:r>
        <w:t xml:space="preserve">-</w:t>
      </w:r>
      <w:r>
        <w:t xml:space="preserve"> </w:t>
      </w:r>
      <w:r>
        <w:rPr>
          <w:b/>
          <w:bCs/>
        </w:rPr>
        <w:t xml:space="preserve">Operating Expenses</w:t>
      </w:r>
      <w:r>
        <w:t xml:space="preserve"> </w:t>
      </w:r>
      <w:r>
        <w:t xml:space="preserve">(estimated Year 5):</w:t>
      </w:r>
      <w:r>
        <w:t xml:space="preserve"> </w:t>
      </w:r>
      <w:r>
        <w:t xml:space="preserve">- R&amp;D (30% of revenue): $9-14M (continue product development, maintain technical lead)</w:t>
      </w:r>
      <w:r>
        <w:t xml:space="preserve"> </w:t>
      </w:r>
      <w:r>
        <w:t xml:space="preserve">- Sales &amp; Marketing (25%): $7-11M (customer acquisition, field support)</w:t>
      </w:r>
      <w:r>
        <w:t xml:space="preserve"> </w:t>
      </w:r>
      <w:r>
        <w:t xml:space="preserve">- G&amp;A (15%): $4-7M (finance, legal, HR, facilities)</w:t>
      </w:r>
      <w:r>
        <w:t xml:space="preserve"> </w:t>
      </w:r>
      <w:r>
        <w:t xml:space="preserve">-</w:t>
      </w:r>
      <w:r>
        <w:t xml:space="preserve"> </w:t>
      </w:r>
      <w:r>
        <w:rPr>
          <w:b/>
          <w:bCs/>
        </w:rPr>
        <w:t xml:space="preserve">Total OpEx</w:t>
      </w:r>
      <w:r>
        <w:t xml:space="preserve">: $20-32M</w:t>
      </w:r>
      <w:r>
        <w:t xml:space="preserve"> </w:t>
      </w:r>
      <w:r>
        <w:t xml:space="preserve">-</w:t>
      </w:r>
      <w:r>
        <w:t xml:space="preserve"> </w:t>
      </w:r>
      <w:r>
        <w:rPr>
          <w:b/>
          <w:bCs/>
        </w:rPr>
        <w:t xml:space="preserve">Year 5 EBITDA</w:t>
      </w:r>
      <w:r>
        <w:t xml:space="preserve">: $0-2M (breakeven to modest profit, reinvesting for growth)</w:t>
      </w:r>
      <w:r>
        <w:t xml:space="preserve"> </w:t>
      </w:r>
      <w:r>
        <w:t xml:space="preserve">-</w:t>
      </w:r>
      <w:r>
        <w:t xml:space="preserve"> </w:t>
      </w:r>
      <w:r>
        <w:rPr>
          <w:b/>
          <w:bCs/>
        </w:rPr>
        <w:t xml:space="preserve">Path to Profitability</w:t>
      </w:r>
      <w:r>
        <w:t xml:space="preserve">: Year 4-5 (typical SaaS economics: invest in growth years 1-3, achieve profitability years 4-5)</w:t>
      </w:r>
    </w:p>
    <w:p>
      <w:pPr>
        <w:pStyle w:val="BodyText"/>
      </w:pPr>
      <w:r>
        <w:rPr>
          <w:b/>
          <w:bCs/>
        </w:rPr>
        <w:t xml:space="preserve">Valuation Implications</w:t>
      </w:r>
      <w:r>
        <w:t xml:space="preserve"> </w:t>
      </w:r>
      <w:r>
        <w:t xml:space="preserve">(Exit Scenarios):</w:t>
      </w:r>
      <w:r>
        <w:t xml:space="preserve"> </w:t>
      </w:r>
      <w:r>
        <w:t xml:space="preserve">-</w:t>
      </w:r>
      <w:r>
        <w:t xml:space="preserve"> </w:t>
      </w:r>
      <w:r>
        <w:rPr>
          <w:b/>
          <w:bCs/>
        </w:rPr>
        <w:t xml:space="preserve">Strategic Acquisition</w:t>
      </w:r>
      <w:r>
        <w:t xml:space="preserve"> </w:t>
      </w:r>
      <w:r>
        <w:t xml:space="preserve">(Years 3-5 if successful):</w:t>
      </w:r>
      <w:r>
        <w:t xml:space="preserve"> </w:t>
      </w:r>
      <w:r>
        <w:t xml:space="preserve">-</w:t>
      </w:r>
      <w:r>
        <w:t xml:space="preserve"> </w:t>
      </w:r>
      <w:r>
        <w:rPr>
          <w:b/>
          <w:bCs/>
        </w:rPr>
        <w:t xml:space="preserve">Acquirers</w:t>
      </w:r>
      <w:r>
        <w:t xml:space="preserve">: Fluke (Fortive), Keysight, Tektronix, private equity calibration roll-ups</w:t>
      </w:r>
      <w:r>
        <w:t xml:space="preserve"> </w:t>
      </w:r>
      <w:r>
        <w:t xml:space="preserve">-</w:t>
      </w:r>
      <w:r>
        <w:t xml:space="preserve"> </w:t>
      </w:r>
      <w:r>
        <w:rPr>
          <w:b/>
          <w:bCs/>
        </w:rPr>
        <w:t xml:space="preserve">Valuation Multiple</w:t>
      </w:r>
      <w:r>
        <w:t xml:space="preserve">: 5-10× revenue (enterprise software, recurring revenue, regulatory moat)</w:t>
      </w:r>
      <w:r>
        <w:t xml:space="preserve"> </w:t>
      </w:r>
      <w:r>
        <w:t xml:space="preserve">-</w:t>
      </w:r>
      <w:r>
        <w:t xml:space="preserve"> </w:t>
      </w:r>
      <w:r>
        <w:rPr>
          <w:b/>
          <w:bCs/>
        </w:rPr>
        <w:t xml:space="preserve">Year 3 Revenue</w:t>
      </w:r>
      <w:r>
        <w:t xml:space="preserve">: $13.5M →</w:t>
      </w:r>
      <w:r>
        <w:t xml:space="preserve"> </w:t>
      </w:r>
      <w:r>
        <w:rPr>
          <w:b/>
          <w:bCs/>
        </w:rPr>
        <w:t xml:space="preserve">Acquisition value $68-135M</w:t>
      </w:r>
      <w:r>
        <w:t xml:space="preserve"> </w:t>
      </w:r>
      <w:r>
        <w:t xml:space="preserve">-</w:t>
      </w:r>
      <w:r>
        <w:t xml:space="preserve"> </w:t>
      </w:r>
      <w:r>
        <w:rPr>
          <w:b/>
          <w:bCs/>
        </w:rPr>
        <w:t xml:space="preserve">Year 5 Revenue</w:t>
      </w:r>
      <w:r>
        <w:t xml:space="preserve">: $29M →</w:t>
      </w:r>
      <w:r>
        <w:t xml:space="preserve"> </w:t>
      </w:r>
      <w:r>
        <w:rPr>
          <w:b/>
          <w:bCs/>
        </w:rPr>
        <w:t xml:space="preserve">Acquisition value $145-290M</w:t>
      </w:r>
      <w:r>
        <w:t xml:space="preserve"> </w:t>
      </w:r>
      <w:r>
        <w:t xml:space="preserve">-</w:t>
      </w:r>
      <w:r>
        <w:t xml:space="preserve"> </w:t>
      </w:r>
      <w:r>
        <w:rPr>
          <w:b/>
          <w:bCs/>
        </w:rPr>
        <w:t xml:space="preserve">Hupyy Return</w:t>
      </w:r>
      <w:r>
        <w:t xml:space="preserve">: 82:1 to 349:1 on $830K investment (assumes Hupyy owns meaningful equity)</w:t>
      </w:r>
      <w:r>
        <w:t xml:space="preserve"> </w:t>
      </w:r>
      <w:r>
        <w:t xml:space="preserve">-</w:t>
      </w:r>
      <w:r>
        <w:t xml:space="preserve"> </w:t>
      </w:r>
      <w:r>
        <w:rPr>
          <w:b/>
          <w:bCs/>
        </w:rPr>
        <w:t xml:space="preserve">IPO / Growth Equity</w:t>
      </w:r>
      <w:r>
        <w:t xml:space="preserve"> </w:t>
      </w:r>
      <w:r>
        <w:t xml:space="preserve">(Year 7-10 if independent path):</w:t>
      </w:r>
      <w:r>
        <w:t xml:space="preserve"> </w:t>
      </w:r>
      <w:r>
        <w:t xml:space="preserve">- Target: $100M+ revenue with 20%+ EBITDA margins</w:t>
      </w:r>
      <w:r>
        <w:t xml:space="preserve"> </w:t>
      </w:r>
      <w:r>
        <w:t xml:space="preserve">- Valuation: 8-15× revenue (public SaaS comparables)</w:t>
      </w:r>
      <w:r>
        <w:t xml:space="preserve"> </w:t>
      </w:r>
      <w:r>
        <w:t xml:space="preserve">- Exit value: $800M-1.5B+</w:t>
      </w:r>
    </w:p>
    <w:p>
      <w:pPr>
        <w:pStyle w:val="BodyText"/>
      </w:pPr>
      <w:r>
        <w:rPr>
          <w:b/>
          <w:bCs/>
        </w:rPr>
        <w:t xml:space="preserve">Risk-Adjusted ROI</w:t>
      </w:r>
      <w:r>
        <w:t xml:space="preserve">:</w:t>
      </w:r>
      <w:r>
        <w:t xml:space="preserve"> </w:t>
      </w:r>
      <w:r>
        <w:t xml:space="preserve">-</w:t>
      </w:r>
      <w:r>
        <w:t xml:space="preserve"> </w:t>
      </w:r>
      <w:r>
        <w:rPr>
          <w:b/>
          <w:bCs/>
        </w:rPr>
        <w:t xml:space="preserve">Probability of Success</w:t>
      </w:r>
      <w:r>
        <w:t xml:space="preserve">: 60-70% (strong technical feasibility, market timing, partnership)</w:t>
      </w:r>
      <w:r>
        <w:t xml:space="preserve"> </w:t>
      </w:r>
      <w:r>
        <w:t xml:space="preserve">-</w:t>
      </w:r>
      <w:r>
        <w:t xml:space="preserve"> </w:t>
      </w:r>
      <w:r>
        <w:rPr>
          <w:b/>
          <w:bCs/>
        </w:rPr>
        <w:t xml:space="preserve">Expected Value</w:t>
      </w:r>
      <w:r>
        <w:t xml:space="preserve">: (70% × $145-290M) + (30% × $0) =</w:t>
      </w:r>
      <w:r>
        <w:t xml:space="preserve"> </w:t>
      </w:r>
      <w:r>
        <w:rPr>
          <w:b/>
          <w:bCs/>
        </w:rPr>
        <w:t xml:space="preserve">$102-203M</w:t>
      </w:r>
      <w:r>
        <w:t xml:space="preserve"> </w:t>
      </w:r>
      <w:r>
        <w:t xml:space="preserve">-</w:t>
      </w:r>
      <w:r>
        <w:t xml:space="preserve"> </w:t>
      </w:r>
      <w:r>
        <w:rPr>
          <w:b/>
          <w:bCs/>
        </w:rPr>
        <w:t xml:space="preserve">Risk-Adjusted ROI</w:t>
      </w:r>
      <w:r>
        <w:t xml:space="preserve">: $102-203M ÷ $830K =</w:t>
      </w:r>
      <w:r>
        <w:t xml:space="preserve"> </w:t>
      </w:r>
      <w:r>
        <w:rPr>
          <w:b/>
          <w:bCs/>
        </w:rPr>
        <w:t xml:space="preserve">123:1 to 244:1</w:t>
      </w:r>
    </w:p>
    <w:p>
      <w:r>
        <w:pict>
          <v:rect style="width:0;height:1.5pt" o:hralign="center" o:hrstd="t" o:hr="t"/>
        </w:pict>
      </w:r>
    </w:p>
    <w:bookmarkEnd w:id="23"/>
    <w:bookmarkEnd w:id="24"/>
    <w:bookmarkStart w:id="28" w:name="implementation-roadmap-summary"/>
    <w:p>
      <w:pPr>
        <w:pStyle w:val="Heading2"/>
      </w:pPr>
      <w:r>
        <w:rPr>
          <w:rStyle w:val="SectionNumber"/>
        </w:rPr>
        <w:t xml:space="preserve">1.6</w:t>
      </w:r>
      <w:r>
        <w:tab/>
      </w:r>
      <w:r>
        <w:t xml:space="preserve">Implementation Roadmap Summary</w:t>
      </w:r>
    </w:p>
    <w:bookmarkStart w:id="25" w:name="Xa5e250ab51557f2fd8cfae8df174ce039f3dc25"/>
    <w:p>
      <w:pPr>
        <w:pStyle w:val="Heading3"/>
      </w:pPr>
      <w:r>
        <w:rPr>
          <w:rStyle w:val="SectionNumber"/>
        </w:rPr>
        <w:t xml:space="preserve">1.6.1</w:t>
      </w:r>
      <w:r>
        <w:tab/>
      </w:r>
      <w:r>
        <w:t xml:space="preserve">Phase 1: FS725 Rubidium Frequency Standard Pilot (6 Months, $250K)</w:t>
      </w:r>
    </w:p>
    <w:p>
      <w:pPr>
        <w:pStyle w:val="FirstParagraph"/>
      </w:pPr>
      <w:r>
        <w:rPr>
          <w:b/>
          <w:bCs/>
        </w:rPr>
        <w:t xml:space="preserve">Objective</w:t>
      </w:r>
      <w:r>
        <w:t xml:space="preserve">: Prove SMT solver-based formal verification can match manual NIST-traceable calibration within measurement uncertainty bounds, establishing foundation for ISO 17025 accreditation.</w:t>
      </w:r>
    </w:p>
    <w:p>
      <w:pPr>
        <w:pStyle w:val="BodyText"/>
      </w:pPr>
      <w:r>
        <w:rPr>
          <w:b/>
          <w:bCs/>
        </w:rPr>
        <w:t xml:space="preserve">Strategic Rationale for FS725</w:t>
      </w:r>
      <w:r>
        <w:t xml:space="preserve">:</w:t>
      </w:r>
      <w:r>
        <w:t xml:space="preserve"> </w:t>
      </w:r>
      <w:r>
        <w:t xml:space="preserve">-</w:t>
      </w:r>
      <w:r>
        <w:t xml:space="preserve"> </w:t>
      </w:r>
      <w:r>
        <w:rPr>
          <w:b/>
          <w:bCs/>
        </w:rPr>
        <w:t xml:space="preserve">Mature Product</w:t>
      </w:r>
      <w:r>
        <w:t xml:space="preserve">: 20+ years field experience, well-documented calibration procedures</w:t>
      </w:r>
      <w:r>
        <w:t xml:space="preserve"> </w:t>
      </w:r>
      <w:r>
        <w:t xml:space="preserve">-</w:t>
      </w:r>
      <w:r>
        <w:t xml:space="preserve"> </w:t>
      </w:r>
      <w:r>
        <w:rPr>
          <w:b/>
          <w:bCs/>
        </w:rPr>
        <w:t xml:space="preserve">Well-Understood Physics</w:t>
      </w:r>
      <w:r>
        <w:t xml:space="preserve">: Rubidium atomic clock physics precisely modeled (87Rb hyperfine transition at 6.835 GHz)</w:t>
      </w:r>
      <w:r>
        <w:t xml:space="preserve"> </w:t>
      </w:r>
      <w:r>
        <w:t xml:space="preserve">-</w:t>
      </w:r>
      <w:r>
        <w:t xml:space="preserve"> </w:t>
      </w:r>
      <w:r>
        <w:rPr>
          <w:b/>
          <w:bCs/>
        </w:rPr>
        <w:t xml:space="preserve">Mathematically Tractable</w:t>
      </w:r>
      <w:r>
        <w:t xml:space="preserve">: Frequency stability calibration (Allan deviation analysis) maps naturally to SMT theories</w:t>
      </w:r>
      <w:r>
        <w:t xml:space="preserve"> </w:t>
      </w:r>
      <w:r>
        <w:t xml:space="preserve">-</w:t>
      </w:r>
      <w:r>
        <w:t xml:space="preserve"> </w:t>
      </w:r>
      <w:r>
        <w:rPr>
          <w:b/>
          <w:bCs/>
        </w:rPr>
        <w:t xml:space="preserve">NIST Validation Path</w:t>
      </w:r>
      <w:r>
        <w:t xml:space="preserve">: NIST has deep frequency standards expertise, can provide third-party technical validation</w:t>
      </w:r>
      <w:r>
        <w:t xml:space="preserve"> </w:t>
      </w:r>
      <w:r>
        <w:t xml:space="preserve">-</w:t>
      </w:r>
      <w:r>
        <w:t xml:space="preserve"> </w:t>
      </w:r>
      <w:r>
        <w:rPr>
          <w:b/>
          <w:bCs/>
        </w:rPr>
        <w:t xml:space="preserve">Low Integration Risk</w:t>
      </w:r>
      <w:r>
        <w:t xml:space="preserve">: Standardized frequency counter outputs (10 MHz, 1 PPS), simplifying data interfaces</w:t>
      </w:r>
    </w:p>
    <w:p>
      <w:pPr>
        <w:pStyle w:val="BodyText"/>
      </w:pPr>
      <w:r>
        <w:rPr>
          <w:b/>
          <w:bCs/>
        </w:rPr>
        <w:t xml:space="preserve">Scope</w:t>
      </w:r>
      <w:r>
        <w:t xml:space="preserve"> </w:t>
      </w:r>
      <w:r>
        <w:t xml:space="preserve">(In-Scope Only):</w:t>
      </w:r>
      <w:r>
        <w:t xml:space="preserve"> </w:t>
      </w:r>
      <w:r>
        <w:t xml:space="preserve">- Frequency stability calibration (Allan deviation, short-term &lt; 2×10⁻¹¹, long-term &lt; 5×10⁻¹⁰)</w:t>
      </w:r>
      <w:r>
        <w:t xml:space="preserve"> </w:t>
      </w:r>
      <w:r>
        <w:t xml:space="preserve">- Environmental compensation (temperature coefficient, magnetic field sensitivity, line voltage variation)</w:t>
      </w:r>
      <w:r>
        <w:t xml:space="preserve"> </w:t>
      </w:r>
      <w:r>
        <w:t xml:space="preserve">- Aging characterization (linear aging rate over 90 days)</w:t>
      </w:r>
      <w:r>
        <w:t xml:space="preserve"> </w:t>
      </w:r>
      <w:r>
        <w:t xml:space="preserve">- Measurement uncertainty analysis (Type A/B uncertainties, combined uncertainty budget, NIST traceability)</w:t>
      </w:r>
    </w:p>
    <w:p>
      <w:pPr>
        <w:pStyle w:val="BodyText"/>
      </w:pPr>
      <w:r>
        <w:rPr>
          <w:b/>
          <w:bCs/>
        </w:rPr>
        <w:t xml:space="preserve">Success Criteria</w:t>
      </w:r>
      <w:r>
        <w:t xml:space="preserve"> </w:t>
      </w:r>
      <w:r>
        <w:t xml:space="preserve">(Go/No-Go Gate, Month 6):</w:t>
      </w:r>
      <w:r>
        <w:t xml:space="preserve"> </w:t>
      </w:r>
      <w:r>
        <w:t xml:space="preserve">- ✅</w:t>
      </w:r>
      <w:r>
        <w:t xml:space="preserve"> </w:t>
      </w:r>
      <w:r>
        <w:rPr>
          <w:b/>
          <w:bCs/>
        </w:rPr>
        <w:t xml:space="preserve">Quantitative</w:t>
      </w:r>
      <w:r>
        <w:t xml:space="preserve">: Automated verification ≤ 1.5× manual method uncertainty on 10+ FS725 units</w:t>
      </w:r>
      <w:r>
        <w:t xml:space="preserve"> </w:t>
      </w:r>
      <w:r>
        <w:t xml:space="preserve">- ✅</w:t>
      </w:r>
      <w:r>
        <w:t xml:space="preserve"> </w:t>
      </w:r>
      <w:r>
        <w:rPr>
          <w:b/>
          <w:bCs/>
        </w:rPr>
        <w:t xml:space="preserve">Quantitative</w:t>
      </w:r>
      <w:r>
        <w:t xml:space="preserve">: Verification time &lt; 4 hours (vs. 72 hours manual)</w:t>
      </w:r>
      <w:r>
        <w:t xml:space="preserve"> </w:t>
      </w:r>
      <w:r>
        <w:t xml:space="preserve">- ✅</w:t>
      </w:r>
      <w:r>
        <w:t xml:space="preserve"> </w:t>
      </w:r>
      <w:r>
        <w:rPr>
          <w:b/>
          <w:bCs/>
        </w:rPr>
        <w:t xml:space="preserve">Quantitative</w:t>
      </w:r>
      <w:r>
        <w:t xml:space="preserve">: Repeatability: 10 repeated verifications show std dev &lt; 50% measurement uncertainty</w:t>
      </w:r>
      <w:r>
        <w:t xml:space="preserve"> </w:t>
      </w:r>
      <w:r>
        <w:t xml:space="preserve">- ✅</w:t>
      </w:r>
      <w:r>
        <w:t xml:space="preserve"> </w:t>
      </w:r>
      <w:r>
        <w:rPr>
          <w:b/>
          <w:bCs/>
        </w:rPr>
        <w:t xml:space="preserve">Qualitative</w:t>
      </w:r>
      <w:r>
        <w:t xml:space="preserve">: A2LA pre-assessment finds no fundamental barriers to accreditation</w:t>
      </w:r>
      <w:r>
        <w:t xml:space="preserve"> </w:t>
      </w:r>
      <w:r>
        <w:t xml:space="preserve">- ✅</w:t>
      </w:r>
      <w:r>
        <w:t xml:space="preserve"> </w:t>
      </w:r>
      <w:r>
        <w:rPr>
          <w:b/>
          <w:bCs/>
        </w:rPr>
        <w:t xml:space="preserve">Qualitative</w:t>
      </w:r>
      <w:r>
        <w:t xml:space="preserve">: NIST provides written technical validation endorsement</w:t>
      </w:r>
      <w:r>
        <w:t xml:space="preserve"> </w:t>
      </w:r>
      <w:r>
        <w:t xml:space="preserve">- ✅</w:t>
      </w:r>
      <w:r>
        <w:t xml:space="preserve"> </w:t>
      </w:r>
      <w:r>
        <w:rPr>
          <w:b/>
          <w:bCs/>
        </w:rPr>
        <w:t xml:space="preserve">Qualitative</w:t>
      </w:r>
      <w:r>
        <w:t xml:space="preserve">: SRS commits to Phase 2 partnership (budget and resources approved)</w:t>
      </w:r>
    </w:p>
    <w:p>
      <w:pPr>
        <w:pStyle w:val="BodyText"/>
      </w:pPr>
      <w:r>
        <w:rPr>
          <w:b/>
          <w:bCs/>
        </w:rPr>
        <w:t xml:space="preserve">Key Milestones</w:t>
      </w:r>
      <w:r>
        <w:t xml:space="preserve">:</w:t>
      </w:r>
      <w:r>
        <w:t xml:space="preserve"> </w:t>
      </w:r>
      <w:r>
        <w:t xml:space="preserve">-</w:t>
      </w:r>
      <w:r>
        <w:t xml:space="preserve"> </w:t>
      </w:r>
      <w:r>
        <w:rPr>
          <w:b/>
          <w:bCs/>
        </w:rPr>
        <w:t xml:space="preserve">Month 2</w:t>
      </w:r>
      <w:r>
        <w:t xml:space="preserve">: Go/No-Go #1 (architecture validation: SMT solver benchmarking, uncertainty budget feasibility)</w:t>
      </w:r>
      <w:r>
        <w:t xml:space="preserve"> </w:t>
      </w:r>
      <w:r>
        <w:t xml:space="preserve">-</w:t>
      </w:r>
      <w:r>
        <w:t xml:space="preserve"> </w:t>
      </w:r>
      <w:r>
        <w:rPr>
          <w:b/>
          <w:bCs/>
        </w:rPr>
        <w:t xml:space="preserve">Month 4</w:t>
      </w:r>
      <w:r>
        <w:t xml:space="preserve">: Mid-project review (alpha software validates 3 reference units within 3× uncertainty)</w:t>
      </w:r>
      <w:r>
        <w:t xml:space="preserve"> </w:t>
      </w:r>
      <w:r>
        <w:t xml:space="preserve">-</w:t>
      </w:r>
      <w:r>
        <w:t xml:space="preserve"> </w:t>
      </w:r>
      <w:r>
        <w:rPr>
          <w:b/>
          <w:bCs/>
        </w:rPr>
        <w:t xml:space="preserve">Month 6</w:t>
      </w:r>
      <w:r>
        <w:t xml:space="preserve">: Go/No-Go #2 (Phase 1 complete, authorize Phase 2)</w:t>
      </w:r>
    </w:p>
    <w:p>
      <w:pPr>
        <w:pStyle w:val="BodyText"/>
      </w:pPr>
      <w:r>
        <w:rPr>
          <w:b/>
          <w:bCs/>
        </w:rPr>
        <w:t xml:space="preserve">Deliverables</w:t>
      </w:r>
      <w:r>
        <w:t xml:space="preserve">:</w:t>
      </w:r>
      <w:r>
        <w:t xml:space="preserve"> </w:t>
      </w:r>
      <w:r>
        <w:t xml:space="preserve">- Production-ready calibration verification software (v1.0)</w:t>
      </w:r>
      <w:r>
        <w:t xml:space="preserve"> </w:t>
      </w:r>
      <w:r>
        <w:t xml:space="preserve">- Comprehensive validation report (75+ pages) demonstrating equivalence to manual calibration</w:t>
      </w:r>
      <w:r>
        <w:t xml:space="preserve"> </w:t>
      </w:r>
      <w:r>
        <w:t xml:space="preserve">- ISO 17025 pre-assessment documentation package</w:t>
      </w:r>
      <w:r>
        <w:t xml:space="preserve"> </w:t>
      </w:r>
      <w:r>
        <w:t xml:space="preserve">- NIST technical validation letter</w:t>
      </w:r>
      <w:r>
        <w:t xml:space="preserve"> </w:t>
      </w:r>
      <w:r>
        <w:t xml:space="preserve">- Calibration procedure manual suitable for accreditation submission</w:t>
      </w:r>
    </w:p>
    <w:p>
      <w:r>
        <w:pict>
          <v:rect style="width:0;height:1.5pt" o:hralign="center" o:hrstd="t" o:hr="t"/>
        </w:pict>
      </w:r>
    </w:p>
    <w:bookmarkEnd w:id="25"/>
    <w:bookmarkStart w:id="26" w:name="X4ee867407eae3b1d9ff3e76d2495e2120da2d94"/>
    <w:p>
      <w:pPr>
        <w:pStyle w:val="Heading3"/>
      </w:pPr>
      <w:r>
        <w:rPr>
          <w:rStyle w:val="SectionNumber"/>
        </w:rPr>
        <w:t xml:space="preserve">1.6.2</w:t>
      </w:r>
      <w:r>
        <w:tab/>
      </w:r>
      <w:r>
        <w:t xml:space="preserve">Phase 2: SR860 Lock-In Amplifier &amp; RGA Residual Gas Analyzer Expansion (4 Months, $180K)</w:t>
      </w:r>
    </w:p>
    <w:p>
      <w:pPr>
        <w:pStyle w:val="FirstParagraph"/>
      </w:pPr>
      <w:r>
        <w:rPr>
          <w:b/>
          <w:bCs/>
        </w:rPr>
        <w:t xml:space="preserve">Objective</w:t>
      </w:r>
      <w:r>
        <w:t xml:space="preserve">: Generalize formal verification framework to multi-parameter calibration (SR860) and ultra-high vacuum applications (RGA), proving scalability beyond single-instrument pilot.</w:t>
      </w:r>
    </w:p>
    <w:p>
      <w:pPr>
        <w:pStyle w:val="BodyText"/>
      </w:pPr>
      <w:r>
        <w:rPr>
          <w:b/>
          <w:bCs/>
        </w:rPr>
        <w:t xml:space="preserve">Strategic Rationale</w:t>
      </w:r>
      <w:r>
        <w:t xml:space="preserve">:</w:t>
      </w:r>
      <w:r>
        <w:t xml:space="preserve"> </w:t>
      </w:r>
      <w:r>
        <w:t xml:space="preserve">-</w:t>
      </w:r>
      <w:r>
        <w:t xml:space="preserve"> </w:t>
      </w:r>
      <w:r>
        <w:rPr>
          <w:b/>
          <w:bCs/>
        </w:rPr>
        <w:t xml:space="preserve">SR860 Lock-In Amplifier</w:t>
      </w:r>
      <w:r>
        <w:t xml:space="preserve">: Multi-parameter calibration (gain, phase, time constants, nanovolt sensitivity) tests framework generalization</w:t>
      </w:r>
      <w:r>
        <w:t xml:space="preserve"> </w:t>
      </w:r>
      <w:r>
        <w:t xml:space="preserve">-</w:t>
      </w:r>
      <w:r>
        <w:t xml:space="preserve"> </w:t>
      </w:r>
      <w:r>
        <w:rPr>
          <w:b/>
          <w:bCs/>
        </w:rPr>
        <w:t xml:space="preserve">RGA Residual Gas Analyzer</w:t>
      </w:r>
      <w:r>
        <w:t xml:space="preserve">: Ultra-high vacuum mass spectrometry (10⁻¹⁴ Torr) validates formal verification in complex physical domains</w:t>
      </w:r>
      <w:r>
        <w:t xml:space="preserve"> </w:t>
      </w:r>
      <w:r>
        <w:t xml:space="preserve">-</w:t>
      </w:r>
      <w:r>
        <w:t xml:space="preserve"> </w:t>
      </w:r>
      <w:r>
        <w:rPr>
          <w:b/>
          <w:bCs/>
        </w:rPr>
        <w:t xml:space="preserve">Parallel Development</w:t>
      </w:r>
      <w:r>
        <w:t xml:space="preserve">: SR860 and RGA developed concurrently (saves 4 weeks vs. sequential) to compress timeline</w:t>
      </w:r>
    </w:p>
    <w:p>
      <w:pPr>
        <w:pStyle w:val="BodyText"/>
      </w:pPr>
      <w:r>
        <w:rPr>
          <w:b/>
          <w:bCs/>
        </w:rPr>
        <w:t xml:space="preserve">Scope</w:t>
      </w:r>
      <w:r>
        <w:t xml:space="preserve">:</w:t>
      </w:r>
      <w:r>
        <w:t xml:space="preserve"> </w:t>
      </w:r>
      <w:r>
        <w:t xml:space="preserve">-</w:t>
      </w:r>
      <w:r>
        <w:t xml:space="preserve"> </w:t>
      </w:r>
      <w:r>
        <w:rPr>
          <w:b/>
          <w:bCs/>
        </w:rPr>
        <w:t xml:space="preserve">Framework Generalization</w:t>
      </w:r>
      <w:r>
        <w:t xml:space="preserve">: Refactor Phase 1 code for plugin architecture (instrument-agnostic verification engine)</w:t>
      </w:r>
      <w:r>
        <w:t xml:space="preserve"> </w:t>
      </w:r>
      <w:r>
        <w:t xml:space="preserve">-</w:t>
      </w:r>
      <w:r>
        <w:t xml:space="preserve"> </w:t>
      </w:r>
      <w:r>
        <w:rPr>
          <w:b/>
          <w:bCs/>
        </w:rPr>
        <w:t xml:space="preserve">SR860 Development</w:t>
      </w:r>
      <w:r>
        <w:t xml:space="preserve">: Multi-parameter constraint modeling, AC signal analysis, harmonic rejection verification</w:t>
      </w:r>
      <w:r>
        <w:t xml:space="preserve"> </w:t>
      </w:r>
      <w:r>
        <w:t xml:space="preserve">-</w:t>
      </w:r>
      <w:r>
        <w:t xml:space="preserve"> </w:t>
      </w:r>
      <w:r>
        <w:rPr>
          <w:b/>
          <w:bCs/>
        </w:rPr>
        <w:t xml:space="preserve">RGA Development</w:t>
      </w:r>
      <w:r>
        <w:t xml:space="preserve">: UHV system integration, partial pressure calibration, mass spectrometry peak fitting</w:t>
      </w:r>
      <w:r>
        <w:t xml:space="preserve"> </w:t>
      </w:r>
      <w:r>
        <w:t xml:space="preserve">-</w:t>
      </w:r>
      <w:r>
        <w:t xml:space="preserve"> </w:t>
      </w:r>
      <w:r>
        <w:rPr>
          <w:b/>
          <w:bCs/>
        </w:rPr>
        <w:t xml:space="preserve">Beta Customer Deployment</w:t>
      </w:r>
      <w:r>
        <w:t xml:space="preserve">: Onboard 10 beta customers (100-200 instruments total) for field validation</w:t>
      </w:r>
    </w:p>
    <w:p>
      <w:pPr>
        <w:pStyle w:val="BodyText"/>
      </w:pPr>
      <w:r>
        <w:rPr>
          <w:b/>
          <w:bCs/>
        </w:rPr>
        <w:t xml:space="preserve">Success Criteria</w:t>
      </w:r>
      <w:r>
        <w:t xml:space="preserve"> </w:t>
      </w:r>
      <w:r>
        <w:t xml:space="preserve">(Go/No-Go Gate, Month 10):</w:t>
      </w:r>
      <w:r>
        <w:t xml:space="preserve"> </w:t>
      </w:r>
      <w:r>
        <w:t xml:space="preserve">- ✅ Framework supports 3 instrument families (FS725, SR860, RGA) with ≤ 2.5× manual uncertainty</w:t>
      </w:r>
      <w:r>
        <w:t xml:space="preserve"> </w:t>
      </w:r>
      <w:r>
        <w:t xml:space="preserve">- ✅ Beta customer satisfaction ≥ 3.5/5.0 (validates real-world usability)</w:t>
      </w:r>
      <w:r>
        <w:t xml:space="preserve"> </w:t>
      </w:r>
      <w:r>
        <w:t xml:space="preserve">- ✅ ISO 17025 documentation updated for multi-instrument scope</w:t>
      </w:r>
      <w:r>
        <w:t xml:space="preserve"> </w:t>
      </w:r>
      <w:r>
        <w:t xml:space="preserve">- ✅ 10 beta customers onboarded with deployment commitments</w:t>
      </w:r>
    </w:p>
    <w:p>
      <w:pPr>
        <w:pStyle w:val="BodyText"/>
      </w:pPr>
      <w:r>
        <w:rPr>
          <w:b/>
          <w:bCs/>
        </w:rPr>
        <w:t xml:space="preserve">Deliverables</w:t>
      </w:r>
      <w:r>
        <w:t xml:space="preserve">:</w:t>
      </w:r>
      <w:r>
        <w:t xml:space="preserve"> </w:t>
      </w:r>
      <w:r>
        <w:t xml:space="preserve">- Plugin-based verification framework with instrument abstraction layer</w:t>
      </w:r>
      <w:r>
        <w:t xml:space="preserve"> </w:t>
      </w:r>
      <w:r>
        <w:t xml:space="preserve">- SR860 and RGA verification modules (production-ready)</w:t>
      </w:r>
      <w:r>
        <w:t xml:space="preserve"> </w:t>
      </w:r>
      <w:r>
        <w:t xml:space="preserve">- Beta customer onboarding and training materials</w:t>
      </w:r>
      <w:r>
        <w:t xml:space="preserve"> </w:t>
      </w:r>
      <w:r>
        <w:t xml:space="preserve">- Multi-instrument validation report</w:t>
      </w:r>
    </w:p>
    <w:p>
      <w:r>
        <w:pict>
          <v:rect style="width:0;height:1.5pt" o:hralign="center" o:hrstd="t" o:hr="t"/>
        </w:pict>
      </w:r>
    </w:p>
    <w:bookmarkEnd w:id="26"/>
    <w:bookmarkStart w:id="27" w:name="X1e5901c33ff4f87ab17cc7347a398c6e128cd39"/>
    <w:p>
      <w:pPr>
        <w:pStyle w:val="Heading3"/>
      </w:pPr>
      <w:r>
        <w:rPr>
          <w:rStyle w:val="SectionNumber"/>
        </w:rPr>
        <w:t xml:space="preserve">1.6.3</w:t>
      </w:r>
      <w:r>
        <w:tab/>
      </w:r>
      <w:r>
        <w:t xml:space="preserve">Phase 3: Full Product Line Integration &amp; Commercial Launch (6 Months, $400K)</w:t>
      </w:r>
    </w:p>
    <w:p>
      <w:pPr>
        <w:pStyle w:val="FirstParagraph"/>
      </w:pPr>
      <w:r>
        <w:rPr>
          <w:b/>
          <w:bCs/>
        </w:rPr>
        <w:t xml:space="preserve">Objective</w:t>
      </w:r>
      <w:r>
        <w:t xml:space="preserve">: Scale to 20+ SRS product families, deploy multi-tenant cloud platform, achieve ISO 17025 accreditation, execute commercial launch with 20+ paying customers.</w:t>
      </w:r>
    </w:p>
    <w:p>
      <w:pPr>
        <w:pStyle w:val="BodyText"/>
      </w:pPr>
      <w:r>
        <w:rPr>
          <w:b/>
          <w:bCs/>
        </w:rPr>
        <w:t xml:space="preserve">Scope</w:t>
      </w:r>
      <w:r>
        <w:t xml:space="preserve">:</w:t>
      </w:r>
      <w:r>
        <w:t xml:space="preserve"> </w:t>
      </w:r>
      <w:r>
        <w:t xml:space="preserve">-</w:t>
      </w:r>
      <w:r>
        <w:t xml:space="preserve"> </w:t>
      </w:r>
      <w:r>
        <w:rPr>
          <w:b/>
          <w:bCs/>
        </w:rPr>
        <w:t xml:space="preserve">Product Line Expansion</w:t>
      </w:r>
      <w:r>
        <w:t xml:space="preserve">:</w:t>
      </w:r>
      <w:r>
        <w:t xml:space="preserve"> </w:t>
      </w:r>
      <w:r>
        <w:t xml:space="preserve">- Tier 1 (Months 11-12): 7 high-priority instruments (SR865A/SR830 lock-ins, SG380 series signal generators, CTI-Cryogenics modular systems)</w:t>
      </w:r>
      <w:r>
        <w:t xml:space="preserve"> </w:t>
      </w:r>
      <w:r>
        <w:t xml:space="preserve">- Tier 2 (Months 13-14): 10-15 additional products (pulse generators, amplifiers, specialized instrumentation)</w:t>
      </w:r>
      <w:r>
        <w:t xml:space="preserve"> </w:t>
      </w:r>
      <w:r>
        <w:t xml:space="preserve">-</w:t>
      </w:r>
      <w:r>
        <w:t xml:space="preserve"> </w:t>
      </w:r>
      <w:r>
        <w:rPr>
          <w:b/>
          <w:bCs/>
        </w:rPr>
        <w:t xml:space="preserve">Cloud Platform</w:t>
      </w:r>
      <w:r>
        <w:t xml:space="preserve">: Multi-tenant SaaS architecture on AWS/Azure, Kubernetes orchestration, 99.9% uptime SLA</w:t>
      </w:r>
      <w:r>
        <w:t xml:space="preserve"> </w:t>
      </w:r>
      <w:r>
        <w:t xml:space="preserve">-</w:t>
      </w:r>
      <w:r>
        <w:t xml:space="preserve"> </w:t>
      </w:r>
      <w:r>
        <w:rPr>
          <w:b/>
          <w:bCs/>
        </w:rPr>
        <w:t xml:space="preserve">Manufacturing Integration</w:t>
      </w:r>
      <w:r>
        <w:t xml:space="preserve">: Embed verification in SRS production line for final calibration of new instruments</w:t>
      </w:r>
      <w:r>
        <w:t xml:space="preserve"> </w:t>
      </w:r>
      <w:r>
        <w:t xml:space="preserve">-</w:t>
      </w:r>
      <w:r>
        <w:t xml:space="preserve"> </w:t>
      </w:r>
      <w:r>
        <w:rPr>
          <w:b/>
          <w:bCs/>
        </w:rPr>
        <w:t xml:space="preserve">ISO 17025 Accreditation</w:t>
      </w:r>
      <w:r>
        <w:t xml:space="preserve">:</w:t>
      </w:r>
      <w:r>
        <w:t xml:space="preserve"> </w:t>
      </w:r>
      <w:r>
        <w:t xml:space="preserve">- Month 15: A2LA on-site assessment (4 days)</w:t>
      </w:r>
      <w:r>
        <w:t xml:space="preserve"> </w:t>
      </w:r>
      <w:r>
        <w:t xml:space="preserve">- Month 16-17: Corrective actions if needed</w:t>
      </w:r>
      <w:r>
        <w:t xml:space="preserve"> </w:t>
      </w:r>
      <w:r>
        <w:t xml:space="preserve">- Target: Accreditation granted Month 15-19</w:t>
      </w:r>
      <w:r>
        <w:t xml:space="preserve"> </w:t>
      </w:r>
      <w:r>
        <w:t xml:space="preserve">-</w:t>
      </w:r>
      <w:r>
        <w:t xml:space="preserve"> </w:t>
      </w:r>
      <w:r>
        <w:rPr>
          <w:b/>
          <w:bCs/>
        </w:rPr>
        <w:t xml:space="preserve">Commercial Launch</w:t>
      </w:r>
      <w:r>
        <w:t xml:space="preserve">: Press release, marketing campaign, 20+ customer acquisition target</w:t>
      </w:r>
    </w:p>
    <w:p>
      <w:pPr>
        <w:pStyle w:val="BodyText"/>
      </w:pPr>
      <w:r>
        <w:rPr>
          <w:b/>
          <w:bCs/>
        </w:rPr>
        <w:t xml:space="preserve">Success Criteria</w:t>
      </w:r>
      <w:r>
        <w:t xml:space="preserve"> </w:t>
      </w:r>
      <w:r>
        <w:t xml:space="preserve">(Go/No-Go Gate, Month 16):</w:t>
      </w:r>
      <w:r>
        <w:t xml:space="preserve"> </w:t>
      </w:r>
      <w:r>
        <w:t xml:space="preserve">- ✅ Cloud platform load testing passes (1,000 concurrent users, 99.9% uptime)</w:t>
      </w:r>
      <w:r>
        <w:t xml:space="preserve"> </w:t>
      </w:r>
      <w:r>
        <w:t xml:space="preserve">- ✅ 20+ product families deployed with ≤ 2× manual uncertainty</w:t>
      </w:r>
      <w:r>
        <w:t xml:space="preserve"> </w:t>
      </w:r>
      <w:r>
        <w:t xml:space="preserve">- ✅ ISO 17025 accreditation granted (or minor corrective actions in progress)</w:t>
      </w:r>
      <w:r>
        <w:t xml:space="preserve"> </w:t>
      </w:r>
      <w:r>
        <w:t xml:space="preserve">- ✅ 20+ paying customers acquired, ≥ 200 instruments under subscription</w:t>
      </w:r>
      <w:r>
        <w:t xml:space="preserve"> </w:t>
      </w:r>
      <w:r>
        <w:t xml:space="preserve">- ✅ MRR ≥ $15K (monthly recurring revenue demonstrates commercial traction)</w:t>
      </w:r>
    </w:p>
    <w:p>
      <w:pPr>
        <w:pStyle w:val="BodyText"/>
      </w:pPr>
      <w:r>
        <w:rPr>
          <w:b/>
          <w:bCs/>
        </w:rPr>
        <w:t xml:space="preserve">Deliverables</w:t>
      </w:r>
      <w:r>
        <w:t xml:space="preserve">:</w:t>
      </w:r>
      <w:r>
        <w:t xml:space="preserve"> </w:t>
      </w:r>
      <w:r>
        <w:t xml:space="preserve">- Cloud-based SaaS platform (production)</w:t>
      </w:r>
      <w:r>
        <w:t xml:space="preserve"> </w:t>
      </w:r>
      <w:r>
        <w:t xml:space="preserve">- 20+ product family verification modules</w:t>
      </w:r>
      <w:r>
        <w:t xml:space="preserve"> </w:t>
      </w:r>
      <w:r>
        <w:t xml:space="preserve">- ISO 17025 accreditation certificate</w:t>
      </w:r>
      <w:r>
        <w:t xml:space="preserve"> </w:t>
      </w:r>
      <w:r>
        <w:t xml:space="preserve">- Commercial launch marketing materials</w:t>
      </w:r>
      <w:r>
        <w:t xml:space="preserve"> </w:t>
      </w:r>
      <w:r>
        <w:t xml:space="preserve">- First $15K+ MRR</w:t>
      </w:r>
    </w:p>
    <w:p>
      <w:r>
        <w:pict>
          <v:rect style="width:0;height:1.5pt" o:hralign="center" o:hrstd="t" o:hr="t"/>
        </w:pict>
      </w:r>
    </w:p>
    <w:bookmarkEnd w:id="27"/>
    <w:bookmarkEnd w:id="28"/>
    <w:bookmarkStart w:id="30" w:name="regulatory-pathway-and-risk"/>
    <w:p>
      <w:pPr>
        <w:pStyle w:val="Heading2"/>
      </w:pPr>
      <w:r>
        <w:rPr>
          <w:rStyle w:val="SectionNumber"/>
        </w:rPr>
        <w:t xml:space="preserve">1.7</w:t>
      </w:r>
      <w:r>
        <w:tab/>
      </w:r>
      <w:r>
        <w:t xml:space="preserve">Regulatory Pathway and Risk</w:t>
      </w:r>
    </w:p>
    <w:bookmarkStart w:id="29" w:name="isoiec-170252017-accreditation-strategy"/>
    <w:p>
      <w:pPr>
        <w:pStyle w:val="Heading3"/>
      </w:pPr>
      <w:r>
        <w:rPr>
          <w:rStyle w:val="SectionNumber"/>
        </w:rPr>
        <w:t xml:space="preserve">1.7.1</w:t>
      </w:r>
      <w:r>
        <w:tab/>
      </w:r>
      <w:r>
        <w:t xml:space="preserve">ISO/IEC 17025:2017 Accreditation Strategy</w:t>
      </w:r>
    </w:p>
    <w:p>
      <w:pPr>
        <w:pStyle w:val="FirstParagraph"/>
      </w:pPr>
      <w:r>
        <w:rPr>
          <w:b/>
          <w:bCs/>
        </w:rPr>
        <w:t xml:space="preserve">Regulatory Framework Clarity</w:t>
      </w:r>
      <w:r>
        <w:t xml:space="preserve">:</w:t>
      </w:r>
      <w:r>
        <w:t xml:space="preserve"> </w:t>
      </w:r>
      <w:r>
        <w:rPr>
          <w:b/>
          <w:bCs/>
        </w:rPr>
        <w:t xml:space="preserve">High</w:t>
      </w:r>
      <w:r>
        <w:t xml:space="preserve"> </w:t>
      </w:r>
      <w:r>
        <w:t xml:space="preserve">-</w:t>
      </w:r>
      <w:r>
        <w:t xml:space="preserve"> </w:t>
      </w:r>
      <w:r>
        <w:rPr>
          <w:b/>
          <w:bCs/>
        </w:rPr>
        <w:t xml:space="preserve">Requirement</w:t>
      </w:r>
      <w:r>
        <w:t xml:space="preserve">:</w:t>
      </w:r>
      <w:r>
        <w:t xml:space="preserve"> </w:t>
      </w:r>
      <w:r>
        <w:t xml:space="preserve">“Metrological traceability”</w:t>
      </w:r>
      <w:r>
        <w:t xml:space="preserve"> </w:t>
      </w:r>
      <w:r>
        <w:t xml:space="preserve">to SI units and</w:t>
      </w:r>
      <w:r>
        <w:t xml:space="preserve"> </w:t>
      </w:r>
      <w:r>
        <w:t xml:space="preserve">“measurement uncertainty”</w:t>
      </w:r>
      <w:r>
        <w:t xml:space="preserve"> </w:t>
      </w:r>
      <w:r>
        <w:t xml:space="preserve">for all calibrations</w:t>
      </w:r>
      <w:r>
        <w:t xml:space="preserve"> </w:t>
      </w:r>
      <w:r>
        <w:t xml:space="preserve">-</w:t>
      </w:r>
      <w:r>
        <w:t xml:space="preserve"> </w:t>
      </w:r>
      <w:r>
        <w:rPr>
          <w:b/>
          <w:bCs/>
        </w:rPr>
        <w:t xml:space="preserve">Formal Verification Status</w:t>
      </w:r>
      <w:r>
        <w:t xml:space="preserve">:</w:t>
      </w:r>
      <w:r>
        <w:t xml:space="preserve"> </w:t>
      </w:r>
      <w:r>
        <w:rPr>
          <w:b/>
          <w:bCs/>
        </w:rPr>
        <w:t xml:space="preserve">Not prohibited</w:t>
      </w:r>
      <w:r>
        <w:t xml:space="preserve"> </w:t>
      </w:r>
      <w:r>
        <w:t xml:space="preserve">- Standard specifies outcomes (traceability, uncertainty), not methods</w:t>
      </w:r>
      <w:r>
        <w:t xml:space="preserve"> </w:t>
      </w:r>
      <w:r>
        <w:t xml:space="preserve">- GUM is recognized method, but not mandatory</w:t>
      </w:r>
      <w:r>
        <w:t xml:space="preserve"> </w:t>
      </w:r>
      <w:r>
        <w:t xml:space="preserve">- Hupyy can position as</w:t>
      </w:r>
      <w:r>
        <w:t xml:space="preserve"> </w:t>
      </w:r>
      <w:r>
        <w:t xml:space="preserve">“GUM-compliant with formal verification enhancement”</w:t>
      </w:r>
      <w:r>
        <w:t xml:space="preserve"> </w:t>
      </w:r>
      <w:r>
        <w:t xml:space="preserve">-</w:t>
      </w:r>
      <w:r>
        <w:t xml:space="preserve"> </w:t>
      </w:r>
      <w:r>
        <w:rPr>
          <w:b/>
          <w:bCs/>
        </w:rPr>
        <w:t xml:space="preserve">Regulatory Clarity Score</w:t>
      </w:r>
      <w:r>
        <w:t xml:space="preserve">: 75/100 (clear framework, but Hupyy’s approach is novel with no precedent)</w:t>
      </w:r>
    </w:p>
    <w:p>
      <w:pPr>
        <w:pStyle w:val="BodyText"/>
      </w:pPr>
      <w:r>
        <w:rPr>
          <w:b/>
          <w:bCs/>
        </w:rPr>
        <w:t xml:space="preserve">Precedent Analysis</w:t>
      </w:r>
      <w:r>
        <w:t xml:space="preserve">:</w:t>
      </w:r>
      <w:r>
        <w:t xml:space="preserve"> </w:t>
      </w:r>
      <w:r>
        <w:rPr>
          <w:b/>
          <w:bCs/>
        </w:rPr>
        <w:t xml:space="preserve">Limited but Encouraging</w:t>
      </w:r>
      <w:r>
        <w:t xml:space="preserve"> </w:t>
      </w:r>
      <w:r>
        <w:t xml:space="preserve">-</w:t>
      </w:r>
      <w:r>
        <w:t xml:space="preserve"> </w:t>
      </w:r>
      <w:r>
        <w:rPr>
          <w:b/>
          <w:bCs/>
        </w:rPr>
        <w:t xml:space="preserve">Software in Calibration Workflows</w:t>
      </w:r>
      <w:r>
        <w:t xml:space="preserve">: Fluke MET/CAL accepted by accredited labs (workflow automation precedent)</w:t>
      </w:r>
      <w:r>
        <w:t xml:space="preserve"> </w:t>
      </w:r>
      <w:r>
        <w:t xml:space="preserve">-</w:t>
      </w:r>
      <w:r>
        <w:t xml:space="preserve"> </w:t>
      </w:r>
      <w:r>
        <w:rPr>
          <w:b/>
          <w:bCs/>
        </w:rPr>
        <w:t xml:space="preserve">Computational Methods</w:t>
      </w:r>
      <w:r>
        <w:t xml:space="preserve">: GUM Supplement 1 (2008) recognizes Monte Carlo simulation (statistical methods precedent)</w:t>
      </w:r>
      <w:r>
        <w:t xml:space="preserve"> </w:t>
      </w:r>
      <w:r>
        <w:t xml:space="preserve">-</w:t>
      </w:r>
      <w:r>
        <w:t xml:space="preserve"> </w:t>
      </w:r>
      <w:r>
        <w:rPr>
          <w:b/>
          <w:bCs/>
        </w:rPr>
        <w:t xml:space="preserve">Formal Verification in Regulated Industries</w:t>
      </w:r>
      <w:r>
        <w:t xml:space="preserve">: DO-178C (aerospace avionics), IEC 62304 (medical device software), Basel III (financial risk models)</w:t>
      </w:r>
      <w:r>
        <w:t xml:space="preserve"> </w:t>
      </w:r>
      <w:r>
        <w:t xml:space="preserve">-</w:t>
      </w:r>
      <w:r>
        <w:t xml:space="preserve"> </w:t>
      </w:r>
      <w:r>
        <w:rPr>
          <w:b/>
          <w:bCs/>
        </w:rPr>
        <w:t xml:space="preserve">Gap</w:t>
      </w:r>
      <w:r>
        <w:t xml:space="preserve">: No direct precedent for SMT-based calibration verification</w:t>
      </w:r>
      <w:r>
        <w:t xml:space="preserve"> </w:t>
      </w:r>
      <w:r>
        <w:t xml:space="preserve">-</w:t>
      </w:r>
      <w:r>
        <w:t xml:space="preserve"> </w:t>
      </w:r>
      <w:r>
        <w:rPr>
          <w:b/>
          <w:bCs/>
        </w:rPr>
        <w:t xml:space="preserve">Implication</w:t>
      </w:r>
      <w:r>
        <w:t xml:space="preserve">: Hupyy is genuinely first-to-market (high opportunity, requires regulatory education)</w:t>
      </w:r>
      <w:r>
        <w:t xml:space="preserve"> </w:t>
      </w:r>
      <w:r>
        <w:t xml:space="preserve">-</w:t>
      </w:r>
      <w:r>
        <w:t xml:space="preserve"> </w:t>
      </w:r>
      <w:r>
        <w:rPr>
          <w:b/>
          <w:bCs/>
        </w:rPr>
        <w:t xml:space="preserve">Precedent Score</w:t>
      </w:r>
      <w:r>
        <w:t xml:space="preserve">: 68/100 (analogous precedents exist, but direct precedent requires creating)</w:t>
      </w:r>
    </w:p>
    <w:p>
      <w:pPr>
        <w:pStyle w:val="BodyText"/>
      </w:pPr>
      <w:r>
        <w:rPr>
          <w:b/>
          <w:bCs/>
        </w:rPr>
        <w:t xml:space="preserve">Accreditation Timeline</w:t>
      </w:r>
      <w:r>
        <w:t xml:space="preserve">:</w:t>
      </w:r>
      <w:r>
        <w:t xml:space="preserve"> </w:t>
      </w:r>
      <w:r>
        <w:rPr>
          <w:b/>
          <w:bCs/>
        </w:rPr>
        <w:t xml:space="preserve">15-19 Months</w:t>
      </w:r>
      <w:r>
        <w:t xml:space="preserve"> </w:t>
      </w:r>
      <w:r>
        <w:t xml:space="preserve">-</w:t>
      </w:r>
      <w:r>
        <w:t xml:space="preserve"> </w:t>
      </w:r>
      <w:r>
        <w:rPr>
          <w:b/>
          <w:bCs/>
        </w:rPr>
        <w:t xml:space="preserve">Month 6 (Phase 1)</w:t>
      </w:r>
      <w:r>
        <w:t xml:space="preserve">: A2LA pre-assessment (de-risking, surface issues early)</w:t>
      </w:r>
      <w:r>
        <w:t xml:space="preserve"> </w:t>
      </w:r>
      <w:r>
        <w:t xml:space="preserve">-</w:t>
      </w:r>
      <w:r>
        <w:t xml:space="preserve"> </w:t>
      </w:r>
      <w:r>
        <w:rPr>
          <w:b/>
          <w:bCs/>
        </w:rPr>
        <w:t xml:space="preserve">Months 7-14 (Phase 2-3)</w:t>
      </w:r>
      <w:r>
        <w:t xml:space="preserve">: Beta deployments in accredited labs (field evidence), documentation preparation</w:t>
      </w:r>
      <w:r>
        <w:t xml:space="preserve"> </w:t>
      </w:r>
      <w:r>
        <w:t xml:space="preserve">-</w:t>
      </w:r>
      <w:r>
        <w:t xml:space="preserve"> </w:t>
      </w:r>
      <w:r>
        <w:rPr>
          <w:b/>
          <w:bCs/>
        </w:rPr>
        <w:t xml:space="preserve">Month 15 (Phase 3)</w:t>
      </w:r>
      <w:r>
        <w:t xml:space="preserve">: A2LA on-site assessment (4 days)</w:t>
      </w:r>
      <w:r>
        <w:t xml:space="preserve"> </w:t>
      </w:r>
      <w:r>
        <w:t xml:space="preserve">-</w:t>
      </w:r>
      <w:r>
        <w:t xml:space="preserve"> </w:t>
      </w:r>
      <w:r>
        <w:rPr>
          <w:b/>
          <w:bCs/>
        </w:rPr>
        <w:t xml:space="preserve">Month 16-17</w:t>
      </w:r>
      <w:r>
        <w:t xml:space="preserve">: Corrective actions (if needed, baseline scenario assumes 1-2 major findings)</w:t>
      </w:r>
      <w:r>
        <w:t xml:space="preserve"> </w:t>
      </w:r>
      <w:r>
        <w:t xml:space="preserve">-</w:t>
      </w:r>
      <w:r>
        <w:t xml:space="preserve"> </w:t>
      </w:r>
      <w:r>
        <w:rPr>
          <w:b/>
          <w:bCs/>
        </w:rPr>
        <w:t xml:space="preserve">Target</w:t>
      </w:r>
      <w:r>
        <w:t xml:space="preserve">: Accreditation granted Month 15 (optimistic, 10% probability), Month 16-17 (baseline, 60%), Month 18-19 (pessimistic, 30%)</w:t>
      </w:r>
      <w:r>
        <w:t xml:space="preserve"> </w:t>
      </w:r>
      <w:r>
        <w:t xml:space="preserve">-</w:t>
      </w:r>
      <w:r>
        <w:t xml:space="preserve"> </w:t>
      </w:r>
      <w:r>
        <w:rPr>
          <w:b/>
          <w:bCs/>
        </w:rPr>
        <w:t xml:space="preserve">Comparison</w:t>
      </w:r>
      <w:r>
        <w:t xml:space="preserve">: Industry norm for initial ISO 17025 accreditation is 12-18 months (Hupyy’s 15-19 months within range, accounting for novel technology)</w:t>
      </w:r>
      <w:r>
        <w:t xml:space="preserve"> </w:t>
      </w:r>
      <w:r>
        <w:t xml:space="preserve">-</w:t>
      </w:r>
      <w:r>
        <w:t xml:space="preserve"> </w:t>
      </w:r>
      <w:r>
        <w:rPr>
          <w:b/>
          <w:bCs/>
        </w:rPr>
        <w:t xml:space="preserve">Timeline Score</w:t>
      </w:r>
      <w:r>
        <w:t xml:space="preserve">: 76/100 (realistic, industry-appropriate, with de-risking strategy)</w:t>
      </w:r>
    </w:p>
    <w:p>
      <w:pPr>
        <w:pStyle w:val="BodyText"/>
      </w:pPr>
      <w:r>
        <w:rPr>
          <w:b/>
          <w:bCs/>
        </w:rPr>
        <w:t xml:space="preserve">Path to Regulatory Moat</w:t>
      </w:r>
      <w:r>
        <w:t xml:space="preserve"> </w:t>
      </w:r>
      <w:r>
        <w:t xml:space="preserve">(3-5 Year Vision):</w:t>
      </w:r>
      <w:r>
        <w:t xml:space="preserve"> </w:t>
      </w:r>
      <w:r>
        <w:t xml:space="preserve">-</w:t>
      </w:r>
      <w:r>
        <w:t xml:space="preserve"> </w:t>
      </w:r>
      <w:r>
        <w:rPr>
          <w:b/>
          <w:bCs/>
        </w:rPr>
        <w:t xml:space="preserve">Phase 1</w:t>
      </w:r>
      <w:r>
        <w:t xml:space="preserve">: NIST technical validation (scientific credibility)</w:t>
      </w:r>
      <w:r>
        <w:t xml:space="preserve"> </w:t>
      </w:r>
      <w:r>
        <w:t xml:space="preserve">-</w:t>
      </w:r>
      <w:r>
        <w:t xml:space="preserve"> </w:t>
      </w:r>
      <w:r>
        <w:rPr>
          <w:b/>
          <w:bCs/>
        </w:rPr>
        <w:t xml:space="preserve">Phase 2-3</w:t>
      </w:r>
      <w:r>
        <w:t xml:space="preserve">: Beta customer deployments, peer-reviewed publications, conference presentations (industry recognition)</w:t>
      </w:r>
      <w:r>
        <w:t xml:space="preserve"> </w:t>
      </w:r>
      <w:r>
        <w:t xml:space="preserve">-</w:t>
      </w:r>
      <w:r>
        <w:t xml:space="preserve"> </w:t>
      </w:r>
      <w:r>
        <w:rPr>
          <w:b/>
          <w:bCs/>
        </w:rPr>
        <w:t xml:space="preserve">Phase 3</w:t>
      </w:r>
      <w:r>
        <w:t xml:space="preserve">: ISO 17025 accreditation (regulatory acceptance proof)</w:t>
      </w:r>
      <w:r>
        <w:t xml:space="preserve"> </w:t>
      </w:r>
      <w:r>
        <w:t xml:space="preserve">-</w:t>
      </w:r>
      <w:r>
        <w:t xml:space="preserve"> </w:t>
      </w:r>
      <w:r>
        <w:rPr>
          <w:b/>
          <w:bCs/>
        </w:rPr>
        <w:t xml:space="preserve">Phase 4+ (Post-Month 16)</w:t>
      </w:r>
      <w:r>
        <w:t xml:space="preserve">: Standards committee participation</w:t>
      </w:r>
      <w:r>
        <w:t xml:space="preserve"> </w:t>
      </w:r>
      <w:r>
        <w:t xml:space="preserve">- ILAC policy working groups (influence calibration certificate requirements)</w:t>
      </w:r>
      <w:r>
        <w:t xml:space="preserve"> </w:t>
      </w:r>
      <w:r>
        <w:t xml:space="preserve">- ISO/IEC TC 213 (dimensional metrology standards)</w:t>
      </w:r>
      <w:r>
        <w:t xml:space="preserve"> </w:t>
      </w:r>
      <w:r>
        <w:t xml:space="preserve">- Propose GUM supplement on formal verification methods</w:t>
      </w:r>
      <w:r>
        <w:t xml:space="preserve"> </w:t>
      </w:r>
      <w:r>
        <w:t xml:space="preserve">- Publish thought leadership (NCSLI annual conference, Metrologia journal)</w:t>
      </w:r>
      <w:r>
        <w:t xml:space="preserve"> </w:t>
      </w:r>
      <w:r>
        <w:t xml:space="preserve">-</w:t>
      </w:r>
      <w:r>
        <w:t xml:space="preserve"> </w:t>
      </w:r>
      <w:r>
        <w:rPr>
          <w:b/>
          <w:bCs/>
        </w:rPr>
        <w:t xml:space="preserve">Winner-Take-Most Scenario</w:t>
      </w:r>
      <w:r>
        <w:t xml:space="preserve">: If formal verification becomes recognized or preferred method in accreditation standards, Hupyy has 5+ year regulatory moat</w:t>
      </w:r>
    </w:p>
    <w:p>
      <w:r>
        <w:pict>
          <v:rect style="width:0;height:1.5pt" o:hralign="center" o:hrstd="t" o:hr="t"/>
        </w:pict>
      </w:r>
    </w:p>
    <w:bookmarkEnd w:id="29"/>
    <w:bookmarkEnd w:id="30"/>
    <w:bookmarkStart w:id="33" w:name="strategic-risks-and-mitigation"/>
    <w:p>
      <w:pPr>
        <w:pStyle w:val="Heading2"/>
      </w:pPr>
      <w:r>
        <w:rPr>
          <w:rStyle w:val="SectionNumber"/>
        </w:rPr>
        <w:t xml:space="preserve">1.8</w:t>
      </w:r>
      <w:r>
        <w:tab/>
      </w:r>
      <w:r>
        <w:t xml:space="preserve">Strategic Risks and Mitigation</w:t>
      </w:r>
    </w:p>
    <w:bookmarkStart w:id="31" w:name="high-impact-risks"/>
    <w:p>
      <w:pPr>
        <w:pStyle w:val="Heading3"/>
      </w:pPr>
      <w:r>
        <w:rPr>
          <w:rStyle w:val="SectionNumber"/>
        </w:rPr>
        <w:t xml:space="preserve">1.8.1</w:t>
      </w:r>
      <w:r>
        <w:tab/>
      </w:r>
      <w:r>
        <w:t xml:space="preserve">High-Impact Risks</w:t>
      </w:r>
    </w:p>
    <w:p>
      <w:pPr>
        <w:pStyle w:val="FirstParagraph"/>
      </w:pPr>
      <w:r>
        <w:rPr>
          <w:b/>
          <w:bCs/>
        </w:rPr>
        <w:t xml:space="preserve">Risk 1: A2LA Rejects Automated Verification for ISO 17025</w:t>
      </w:r>
      <w:r>
        <w:t xml:space="preserve"> </w:t>
      </w:r>
      <w:r>
        <w:t xml:space="preserve">-</w:t>
      </w:r>
      <w:r>
        <w:t xml:space="preserve"> </w:t>
      </w:r>
      <w:r>
        <w:rPr>
          <w:b/>
          <w:bCs/>
        </w:rPr>
        <w:t xml:space="preserve">Likelihood</w:t>
      </w:r>
      <w:r>
        <w:t xml:space="preserve">: Low-Medium (25%)</w:t>
      </w:r>
      <w:r>
        <w:t xml:space="preserve"> </w:t>
      </w:r>
      <w:r>
        <w:t xml:space="preserve">-</w:t>
      </w:r>
      <w:r>
        <w:t xml:space="preserve"> </w:t>
      </w:r>
      <w:r>
        <w:rPr>
          <w:b/>
          <w:bCs/>
        </w:rPr>
        <w:t xml:space="preserve">Impact</w:t>
      </w:r>
      <w:r>
        <w:t xml:space="preserve">: High (blocks calibration service business model, limits addressable market to OEM internal use only)</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Pre-assessment (Month 6)</w:t>
      </w:r>
      <w:r>
        <w:t xml:space="preserve">: Surface objections early, 9 months to address before full assessment</w:t>
      </w:r>
      <w:r>
        <w:t xml:space="preserve"> </w:t>
      </w:r>
      <w:r>
        <w:t xml:space="preserve">-</w:t>
      </w:r>
      <w:r>
        <w:t xml:space="preserve"> </w:t>
      </w:r>
      <w:r>
        <w:rPr>
          <w:b/>
          <w:bCs/>
        </w:rPr>
        <w:t xml:space="preserve">NIST validation</w:t>
      </w:r>
      <w:r>
        <w:t xml:space="preserve">: Third-party technical endorsement builds A2LA confidence</w:t>
      </w:r>
      <w:r>
        <w:t xml:space="preserve"> </w:t>
      </w:r>
      <w:r>
        <w:t xml:space="preserve">-</w:t>
      </w:r>
      <w:r>
        <w:t xml:space="preserve"> </w:t>
      </w:r>
      <w:r>
        <w:rPr>
          <w:b/>
          <w:bCs/>
        </w:rPr>
        <w:t xml:space="preserve">Hybrid approach fallback</w:t>
      </w:r>
      <w:r>
        <w:t xml:space="preserve">: Automated verification with manual oversight and technician sign-off (still provides value even if not fully automated)</w:t>
      </w:r>
      <w:r>
        <w:t xml:space="preserve"> </w:t>
      </w:r>
      <w:r>
        <w:t xml:space="preserve">-</w:t>
      </w:r>
      <w:r>
        <w:t xml:space="preserve"> </w:t>
      </w:r>
      <w:r>
        <w:rPr>
          <w:b/>
          <w:bCs/>
        </w:rPr>
        <w:t xml:space="preserve">Alternative path</w:t>
      </w:r>
      <w:r>
        <w:t xml:space="preserve">: Market as internal quality control tool for labs (not accredited scope), focus on OEM partnerships where accreditation less critical</w:t>
      </w:r>
      <w:r>
        <w:t xml:space="preserve"> </w:t>
      </w:r>
      <w:r>
        <w:t xml:space="preserve">-</w:t>
      </w:r>
      <w:r>
        <w:t xml:space="preserve"> </w:t>
      </w:r>
      <w:r>
        <w:rPr>
          <w:b/>
          <w:bCs/>
        </w:rPr>
        <w:t xml:space="preserve">Residual Risk</w:t>
      </w:r>
      <w:r>
        <w:t xml:space="preserve">: Low (pre-assessment + NIST validation significantly de-risk; hybrid fallback preserves value proposition)</w:t>
      </w:r>
    </w:p>
    <w:p>
      <w:pPr>
        <w:pStyle w:val="BodyText"/>
      </w:pPr>
      <w:r>
        <w:rPr>
          <w:b/>
          <w:bCs/>
        </w:rPr>
        <w:t xml:space="preserve">Risk 2: SRS Partnership Weakens or Terminates</w:t>
      </w:r>
      <w:r>
        <w:t xml:space="preserve"> </w:t>
      </w:r>
      <w:r>
        <w:t xml:space="preserve">-</w:t>
      </w:r>
      <w:r>
        <w:t xml:space="preserve"> </w:t>
      </w:r>
      <w:r>
        <w:rPr>
          <w:b/>
          <w:bCs/>
        </w:rPr>
        <w:t xml:space="preserve">Likelihood</w:t>
      </w:r>
      <w:r>
        <w:t xml:space="preserve">: Medium (30%)</w:t>
      </w:r>
      <w:r>
        <w:t xml:space="preserve"> </w:t>
      </w:r>
      <w:r>
        <w:t xml:space="preserve">-</w:t>
      </w:r>
      <w:r>
        <w:t xml:space="preserve"> </w:t>
      </w:r>
      <w:r>
        <w:rPr>
          <w:b/>
          <w:bCs/>
        </w:rPr>
        <w:t xml:space="preserve">Impact</w:t>
      </w:r>
      <w:r>
        <w:t xml:space="preserve">: High (loss of metrology expertise, test equipment access, anchor customer, co-marketing)</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Contractual commitments</w:t>
      </w:r>
      <w:r>
        <w:t xml:space="preserve">: Resource allocation (FTEs), equipment access, exclusivity clauses in partnership agreement</w:t>
      </w:r>
      <w:r>
        <w:t xml:space="preserve"> </w:t>
      </w:r>
      <w:r>
        <w:t xml:space="preserve">-</w:t>
      </w:r>
      <w:r>
        <w:t xml:space="preserve"> </w:t>
      </w:r>
      <w:r>
        <w:rPr>
          <w:b/>
          <w:bCs/>
        </w:rPr>
        <w:t xml:space="preserve">Executive sponsorship</w:t>
      </w:r>
      <w:r>
        <w:t xml:space="preserve">: VP-level commitment with quarterly steering committee reviews</w:t>
      </w:r>
      <w:r>
        <w:t xml:space="preserve"> </w:t>
      </w:r>
      <w:r>
        <w:t xml:space="preserve">-</w:t>
      </w:r>
      <w:r>
        <w:t xml:space="preserve"> </w:t>
      </w:r>
      <w:r>
        <w:rPr>
          <w:b/>
          <w:bCs/>
        </w:rPr>
        <w:t xml:space="preserve">Financial alignment</w:t>
      </w:r>
      <w:r>
        <w:t xml:space="preserve">: Revenue sharing or per-unit licensing aligns SRS incentives</w:t>
      </w:r>
      <w:r>
        <w:t xml:space="preserve"> </w:t>
      </w:r>
      <w:r>
        <w:t xml:space="preserve">-</w:t>
      </w:r>
      <w:r>
        <w:t xml:space="preserve"> </w:t>
      </w:r>
      <w:r>
        <w:rPr>
          <w:b/>
          <w:bCs/>
        </w:rPr>
        <w:t xml:space="preserve">Diversification (Phase 2+)</w:t>
      </w:r>
      <w:r>
        <w:t xml:space="preserve">: Reduce SRS dependency by onboarding additional OEMs (Tektronix, R&amp;S conversations in Phase 2)</w:t>
      </w:r>
      <w:r>
        <w:t xml:space="preserve"> </w:t>
      </w:r>
      <w:r>
        <w:t xml:space="preserve">-</w:t>
      </w:r>
      <w:r>
        <w:t xml:space="preserve"> </w:t>
      </w:r>
      <w:r>
        <w:rPr>
          <w:b/>
          <w:bCs/>
        </w:rPr>
        <w:t xml:space="preserve">Residual Risk</w:t>
      </w:r>
      <w:r>
        <w:t xml:space="preserve">: Medium (partnership critical for Phase 1 success, diversification in Phase 2-3 reduces dependency over time)</w:t>
      </w:r>
    </w:p>
    <w:p>
      <w:pPr>
        <w:pStyle w:val="BodyText"/>
      </w:pPr>
      <w:r>
        <w:rPr>
          <w:b/>
          <w:bCs/>
        </w:rPr>
        <w:t xml:space="preserve">Risk 3: SMT Solver Performance Falls Short of Targets</w:t>
      </w:r>
      <w:r>
        <w:t xml:space="preserve"> </w:t>
      </w:r>
      <w:r>
        <w:t xml:space="preserve">-</w:t>
      </w:r>
      <w:r>
        <w:t xml:space="preserve"> </w:t>
      </w:r>
      <w:r>
        <w:rPr>
          <w:b/>
          <w:bCs/>
        </w:rPr>
        <w:t xml:space="preserve">Likelihood</w:t>
      </w:r>
      <w:r>
        <w:t xml:space="preserve">: Medium (40%)</w:t>
      </w:r>
      <w:r>
        <w:t xml:space="preserve"> </w:t>
      </w:r>
      <w:r>
        <w:t xml:space="preserve">-</w:t>
      </w:r>
      <w:r>
        <w:t xml:space="preserve"> </w:t>
      </w:r>
      <w:r>
        <w:rPr>
          <w:b/>
          <w:bCs/>
        </w:rPr>
        <w:t xml:space="preserve">Impact</w:t>
      </w:r>
      <w:r>
        <w:t xml:space="preserve">: High (if verification time &gt; 1 minute, production use impractical; value proposition erodes)</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Early validation (Month 2)</w:t>
      </w:r>
      <w:r>
        <w:t xml:space="preserve">: Benchmarking with real calibration constraints before major investment (go/no-go gate)</w:t>
      </w:r>
      <w:r>
        <w:t xml:space="preserve"> </w:t>
      </w:r>
      <w:r>
        <w:t xml:space="preserve">-</w:t>
      </w:r>
      <w:r>
        <w:t xml:space="preserve"> </w:t>
      </w:r>
      <w:r>
        <w:rPr>
          <w:b/>
          <w:bCs/>
        </w:rPr>
        <w:t xml:space="preserve">Verification cache</w:t>
      </w:r>
      <w:r>
        <w:t xml:space="preserve">: 90% hit rate (procedures reused) reduces load 10× (target &lt; 1 min becomes &lt; 6 min with cache)</w:t>
      </w:r>
      <w:r>
        <w:t xml:space="preserve"> </w:t>
      </w:r>
      <w:r>
        <w:t xml:space="preserve">-</w:t>
      </w:r>
      <w:r>
        <w:t xml:space="preserve"> </w:t>
      </w:r>
      <w:r>
        <w:rPr>
          <w:b/>
          <w:bCs/>
        </w:rPr>
        <w:t xml:space="preserve">Incremental verification</w:t>
      </w:r>
      <w:r>
        <w:t xml:space="preserve">: Break long measurements into chunks (stability measurements at τ=1s, 10s, 100s, etc. verified separately)</w:t>
      </w:r>
      <w:r>
        <w:t xml:space="preserve"> </w:t>
      </w:r>
      <w:r>
        <w:t xml:space="preserve">-</w:t>
      </w:r>
      <w:r>
        <w:t xml:space="preserve"> </w:t>
      </w:r>
      <w:r>
        <w:rPr>
          <w:b/>
          <w:bCs/>
        </w:rPr>
        <w:t xml:space="preserve">Hybrid approach</w:t>
      </w:r>
      <w:r>
        <w:t xml:space="preserve">: Rule-based verification + SMT-assisted uncertainty analysis (if full formal verification too slow)</w:t>
      </w:r>
      <w:r>
        <w:t xml:space="preserve"> </w:t>
      </w:r>
      <w:r>
        <w:t xml:space="preserve">-</w:t>
      </w:r>
      <w:r>
        <w:t xml:space="preserve"> </w:t>
      </w:r>
      <w:r>
        <w:rPr>
          <w:b/>
          <w:bCs/>
        </w:rPr>
        <w:t xml:space="preserve">Residual Risk</w:t>
      </w:r>
      <w:r>
        <w:t xml:space="preserve">: Medium (early go/no-go gate prevents deep investment if performance inadequate; fallback approaches preserve partial value)</w:t>
      </w:r>
    </w:p>
    <w:bookmarkEnd w:id="31"/>
    <w:bookmarkStart w:id="32" w:name="medium-impact-risks"/>
    <w:p>
      <w:pPr>
        <w:pStyle w:val="Heading3"/>
      </w:pPr>
      <w:r>
        <w:rPr>
          <w:rStyle w:val="SectionNumber"/>
        </w:rPr>
        <w:t xml:space="preserve">1.8.2</w:t>
      </w:r>
      <w:r>
        <w:tab/>
      </w:r>
      <w:r>
        <w:t xml:space="preserve">Medium-Impact Risks</w:t>
      </w:r>
    </w:p>
    <w:p>
      <w:pPr>
        <w:pStyle w:val="FirstParagraph"/>
      </w:pPr>
      <w:r>
        <w:rPr>
          <w:b/>
          <w:bCs/>
        </w:rPr>
        <w:t xml:space="preserve">Risk 4: Regulatory Timeline Extends Beyond 19 Months</w:t>
      </w:r>
      <w:r>
        <w:t xml:space="preserve"> </w:t>
      </w:r>
      <w:r>
        <w:t xml:space="preserve">-</w:t>
      </w:r>
      <w:r>
        <w:t xml:space="preserve"> </w:t>
      </w:r>
      <w:r>
        <w:rPr>
          <w:b/>
          <w:bCs/>
        </w:rPr>
        <w:t xml:space="preserve">Likelihood</w:t>
      </w:r>
      <w:r>
        <w:t xml:space="preserve">: Medium (30% pessimistic scenario)</w:t>
      </w:r>
      <w:r>
        <w:t xml:space="preserve"> </w:t>
      </w:r>
      <w:r>
        <w:t xml:space="preserve">-</w:t>
      </w:r>
      <w:r>
        <w:t xml:space="preserve"> </w:t>
      </w:r>
      <w:r>
        <w:rPr>
          <w:b/>
          <w:bCs/>
        </w:rPr>
        <w:t xml:space="preserve">Impact</w:t>
      </w:r>
      <w:r>
        <w:t xml:space="preserve">: Medium (delays commercial launch, extends burn rate, impacts Year 1 revenue by $15-30K)</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Buffer allocation</w:t>
      </w:r>
      <w:r>
        <w:t xml:space="preserve">: 6-week buffer in Phase 3 for corrective actions</w:t>
      </w:r>
      <w:r>
        <w:t xml:space="preserve"> </w:t>
      </w:r>
      <w:r>
        <w:t xml:space="preserve">-</w:t>
      </w:r>
      <w:r>
        <w:t xml:space="preserve"> </w:t>
      </w:r>
      <w:r>
        <w:rPr>
          <w:b/>
          <w:bCs/>
        </w:rPr>
        <w:t xml:space="preserve">Pre-assessment de-risking</w:t>
      </w:r>
      <w:r>
        <w:t xml:space="preserve">: Month 6 A2LA review surfaces major issues 9 months early</w:t>
      </w:r>
      <w:r>
        <w:t xml:space="preserve"> </w:t>
      </w:r>
      <w:r>
        <w:t xml:space="preserve">-</w:t>
      </w:r>
      <w:r>
        <w:t xml:space="preserve"> </w:t>
      </w:r>
      <w:r>
        <w:rPr>
          <w:b/>
          <w:bCs/>
        </w:rPr>
        <w:t xml:space="preserve">Alternative revenue</w:t>
      </w:r>
      <w:r>
        <w:t xml:space="preserve">: OEM partnerships (SRS, others) generate revenue pre-accreditation (not dependent on ISO 17025 for internal use)</w:t>
      </w:r>
      <w:r>
        <w:t xml:space="preserve"> </w:t>
      </w:r>
      <w:r>
        <w:t xml:space="preserve">-</w:t>
      </w:r>
      <w:r>
        <w:t xml:space="preserve"> </w:t>
      </w:r>
      <w:r>
        <w:rPr>
          <w:b/>
          <w:bCs/>
        </w:rPr>
        <w:t xml:space="preserve">Residual Risk</w:t>
      </w:r>
      <w:r>
        <w:t xml:space="preserve">: Low-Medium (buffer adequate for 1-2 month delay; OEM revenue mitigates commercial impact)</w:t>
      </w:r>
    </w:p>
    <w:p>
      <w:pPr>
        <w:pStyle w:val="BodyText"/>
      </w:pPr>
      <w:r>
        <w:rPr>
          <w:b/>
          <w:bCs/>
        </w:rPr>
        <w:t xml:space="preserve">Risk 5: Team Scaling and Talent Acquisition Challenges</w:t>
      </w:r>
      <w:r>
        <w:t xml:space="preserve"> </w:t>
      </w:r>
      <w:r>
        <w:t xml:space="preserve">-</w:t>
      </w:r>
      <w:r>
        <w:t xml:space="preserve"> </w:t>
      </w:r>
      <w:r>
        <w:rPr>
          <w:b/>
          <w:bCs/>
        </w:rPr>
        <w:t xml:space="preserve">Likelihood</w:t>
      </w:r>
      <w:r>
        <w:t xml:space="preserve">: Medium-High (40%)</w:t>
      </w:r>
      <w:r>
        <w:t xml:space="preserve"> </w:t>
      </w:r>
      <w:r>
        <w:t xml:space="preserve">-</w:t>
      </w:r>
      <w:r>
        <w:t xml:space="preserve"> </w:t>
      </w:r>
      <w:r>
        <w:rPr>
          <w:b/>
          <w:bCs/>
        </w:rPr>
        <w:t xml:space="preserve">Impact</w:t>
      </w:r>
      <w:r>
        <w:t xml:space="preserve">: Medium (timeline delays, budget overruns for premium talent, quality risks if underqualified hires)</w:t>
      </w:r>
      <w:r>
        <w:t xml:space="preserve"> </w:t>
      </w:r>
      <w:r>
        <w:t xml:space="preserve">-</w:t>
      </w:r>
      <w:r>
        <w:t xml:space="preserve"> </w:t>
      </w:r>
      <w:r>
        <w:rPr>
          <w:b/>
          <w:bCs/>
        </w:rPr>
        <w:t xml:space="preserve">Mitigation</w:t>
      </w:r>
      <w:r>
        <w:t xml:space="preserve">:</w:t>
      </w:r>
      <w:r>
        <w:t xml:space="preserve"> </w:t>
      </w:r>
      <w:r>
        <w:t xml:space="preserve">-</w:t>
      </w:r>
      <w:r>
        <w:t xml:space="preserve"> </w:t>
      </w:r>
      <w:r>
        <w:rPr>
          <w:b/>
          <w:bCs/>
        </w:rPr>
        <w:t xml:space="preserve">Early recruiting (Month 5)</w:t>
      </w:r>
      <w:r>
        <w:t xml:space="preserve">: Begin hiring for Phase 2-3 roles before go/no-go decision (accept recruiter fees as sunk cost if pivot)</w:t>
      </w:r>
      <w:r>
        <w:t xml:space="preserve"> </w:t>
      </w:r>
      <w:r>
        <w:t xml:space="preserve">-</w:t>
      </w:r>
      <w:r>
        <w:t xml:space="preserve"> </w:t>
      </w:r>
      <w:r>
        <w:rPr>
          <w:b/>
          <w:bCs/>
        </w:rPr>
        <w:t xml:space="preserve">Contractor fallback</w:t>
      </w:r>
      <w:r>
        <w:t xml:space="preserve">: Use specialized contractors for peak needs (RGA specialist, DevOps) to reduce hiring risk</w:t>
      </w:r>
      <w:r>
        <w:t xml:space="preserve"> </w:t>
      </w:r>
      <w:r>
        <w:t xml:space="preserve">-</w:t>
      </w:r>
      <w:r>
        <w:t xml:space="preserve"> </w:t>
      </w:r>
      <w:r>
        <w:rPr>
          <w:b/>
          <w:bCs/>
        </w:rPr>
        <w:t xml:space="preserve">SRS partnership leverage</w:t>
      </w:r>
      <w:r>
        <w:t xml:space="preserve">: Heavy reliance on SRS metrology team (0.5-4.5 FTE contribution) reduces Hupyy hiring needs</w:t>
      </w:r>
      <w:r>
        <w:t xml:space="preserve"> </w:t>
      </w:r>
      <w:r>
        <w:t xml:space="preserve">-</w:t>
      </w:r>
      <w:r>
        <w:t xml:space="preserve"> </w:t>
      </w:r>
      <w:r>
        <w:rPr>
          <w:b/>
          <w:bCs/>
        </w:rPr>
        <w:t xml:space="preserve">Offshore development</w:t>
      </w:r>
      <w:r>
        <w:t xml:space="preserve">: Non-critical components (UI, reporting) developed by offshore team (lower cost, faster scaling)</w:t>
      </w:r>
      <w:r>
        <w:t xml:space="preserve"> </w:t>
      </w:r>
      <w:r>
        <w:t xml:space="preserve">-</w:t>
      </w:r>
      <w:r>
        <w:t xml:space="preserve"> </w:t>
      </w:r>
      <w:r>
        <w:rPr>
          <w:b/>
          <w:bCs/>
        </w:rPr>
        <w:t xml:space="preserve">Residual Risk</w:t>
      </w:r>
      <w:r>
        <w:t xml:space="preserve">: Medium (SMT + metrology talent intersection is rare; creative sourcing required)</w:t>
      </w:r>
    </w:p>
    <w:p>
      <w:r>
        <w:pict>
          <v:rect style="width:0;height:1.5pt" o:hralign="center" o:hrstd="t" o:hr="t"/>
        </w:pict>
      </w:r>
    </w:p>
    <w:bookmarkEnd w:id="32"/>
    <w:bookmarkEnd w:id="33"/>
    <w:bookmarkStart w:id="36" w:name="conclusion-and-recommendation"/>
    <w:p>
      <w:pPr>
        <w:pStyle w:val="Heading2"/>
      </w:pPr>
      <w:r>
        <w:rPr>
          <w:rStyle w:val="SectionNumber"/>
        </w:rPr>
        <w:t xml:space="preserve">1.9</w:t>
      </w:r>
      <w:r>
        <w:tab/>
      </w:r>
      <w:r>
        <w:t xml:space="preserve">Conclusion and Recommendation</w:t>
      </w:r>
    </w:p>
    <w:bookmarkStart w:id="34" w:name="strategic-fit-assessment"/>
    <w:p>
      <w:pPr>
        <w:pStyle w:val="Heading3"/>
      </w:pPr>
      <w:r>
        <w:rPr>
          <w:rStyle w:val="SectionNumber"/>
        </w:rPr>
        <w:t xml:space="preserve">1.9.1</w:t>
      </w:r>
      <w:r>
        <w:tab/>
      </w:r>
      <w:r>
        <w:t xml:space="preserve">Strategic Fit Assessment</w:t>
      </w:r>
    </w:p>
    <w:p>
      <w:pPr>
        <w:pStyle w:val="FirstParagraph"/>
      </w:pPr>
      <w:r>
        <w:rPr>
          <w:b/>
          <w:bCs/>
        </w:rPr>
        <w:t xml:space="preserve">Hupyy Capability Alignment</w:t>
      </w:r>
      <w:r>
        <w:t xml:space="preserve">: ✅✅✅</w:t>
      </w:r>
      <w:r>
        <w:t xml:space="preserve"> </w:t>
      </w:r>
      <w:r>
        <w:rPr>
          <w:b/>
          <w:bCs/>
        </w:rPr>
        <w:t xml:space="preserve">Excellent</w:t>
      </w:r>
      <w:r>
        <w:t xml:space="preserve"> </w:t>
      </w:r>
      <w:r>
        <w:t xml:space="preserve">-</w:t>
      </w:r>
      <w:r>
        <w:t xml:space="preserve"> </w:t>
      </w:r>
      <w:r>
        <w:rPr>
          <w:b/>
          <w:bCs/>
        </w:rPr>
        <w:t xml:space="preserve">Core Competency</w:t>
      </w:r>
      <w:r>
        <w:t xml:space="preserve">: SMT solver expertise is direct application to calibration uncertainty verification</w:t>
      </w:r>
      <w:r>
        <w:t xml:space="preserve"> </w:t>
      </w:r>
      <w:r>
        <w:t xml:space="preserve">-</w:t>
      </w:r>
      <w:r>
        <w:t xml:space="preserve"> </w:t>
      </w:r>
      <w:r>
        <w:rPr>
          <w:b/>
          <w:bCs/>
        </w:rPr>
        <w:t xml:space="preserve">Differentiation</w:t>
      </w:r>
      <w:r>
        <w:t xml:space="preserve">: Formal verification capability is genuinely unique (zero competitors)</w:t>
      </w:r>
      <w:r>
        <w:t xml:space="preserve"> </w:t>
      </w:r>
      <w:r>
        <w:t xml:space="preserve">-</w:t>
      </w:r>
      <w:r>
        <w:t xml:space="preserve"> </w:t>
      </w:r>
      <w:r>
        <w:rPr>
          <w:b/>
          <w:bCs/>
        </w:rPr>
        <w:t xml:space="preserve">Scalability</w:t>
      </w:r>
      <w:r>
        <w:t xml:space="preserve">: Software leverage enables scaling without proportional headcount (vs. consulting model)</w:t>
      </w:r>
    </w:p>
    <w:p>
      <w:pPr>
        <w:pStyle w:val="BodyText"/>
      </w:pPr>
      <w:r>
        <w:rPr>
          <w:b/>
          <w:bCs/>
        </w:rPr>
        <w:t xml:space="preserve">SRS Needs Alignment</w:t>
      </w:r>
      <w:r>
        <w:t xml:space="preserve">: ✅✅✅</w:t>
      </w:r>
      <w:r>
        <w:t xml:space="preserve"> </w:t>
      </w:r>
      <w:r>
        <w:rPr>
          <w:b/>
          <w:bCs/>
        </w:rPr>
        <w:t xml:space="preserve">Excellent</w:t>
      </w:r>
      <w:r>
        <w:t xml:space="preserve"> </w:t>
      </w:r>
      <w:r>
        <w:t xml:space="preserve">-</w:t>
      </w:r>
      <w:r>
        <w:t xml:space="preserve"> </w:t>
      </w:r>
      <w:r>
        <w:rPr>
          <w:b/>
          <w:bCs/>
        </w:rPr>
        <w:t xml:space="preserve">Competitive Differentiation</w:t>
      </w:r>
      <w:r>
        <w:t xml:space="preserve">:</w:t>
      </w:r>
      <w:r>
        <w:t xml:space="preserve"> </w:t>
      </w:r>
      <w:r>
        <w:t xml:space="preserve">“Mathematically verified calibration”</w:t>
      </w:r>
      <w:r>
        <w:t xml:space="preserve"> </w:t>
      </w:r>
      <w:r>
        <w:t xml:space="preserve">unique market positioning for SRS instruments</w:t>
      </w:r>
      <w:r>
        <w:t xml:space="preserve"> </w:t>
      </w:r>
      <w:r>
        <w:t xml:space="preserve">-</w:t>
      </w:r>
      <w:r>
        <w:t xml:space="preserve"> </w:t>
      </w:r>
      <w:r>
        <w:rPr>
          <w:b/>
          <w:bCs/>
        </w:rPr>
        <w:t xml:space="preserve">Pain Point</w:t>
      </w:r>
      <w:r>
        <w:t xml:space="preserve">: Manual uncertainty validation bottleneck in SRS metrology lab (senior metrologist review time)</w:t>
      </w:r>
      <w:r>
        <w:t xml:space="preserve"> </w:t>
      </w:r>
      <w:r>
        <w:t xml:space="preserve">-</w:t>
      </w:r>
      <w:r>
        <w:t xml:space="preserve"> </w:t>
      </w:r>
      <w:r>
        <w:rPr>
          <w:b/>
          <w:bCs/>
        </w:rPr>
        <w:t xml:space="preserve">Strategic Priority</w:t>
      </w:r>
      <w:r>
        <w:t xml:space="preserve">: Precision instrument accuracy is core to SRS brand; formal verification reinforces quality leadership</w:t>
      </w:r>
    </w:p>
    <w:p>
      <w:pPr>
        <w:pStyle w:val="BodyText"/>
      </w:pPr>
      <w:r>
        <w:rPr>
          <w:b/>
          <w:bCs/>
        </w:rPr>
        <w:t xml:space="preserve">Market Timing</w:t>
      </w:r>
      <w:r>
        <w:t xml:space="preserve">: ✅✅</w:t>
      </w:r>
      <w:r>
        <w:t xml:space="preserve"> </w:t>
      </w:r>
      <w:r>
        <w:rPr>
          <w:b/>
          <w:bCs/>
        </w:rPr>
        <w:t xml:space="preserve">Strong</w:t>
      </w:r>
      <w:r>
        <w:t xml:space="preserve"> </w:t>
      </w:r>
      <w:r>
        <w:t xml:space="preserve">-</w:t>
      </w:r>
      <w:r>
        <w:t xml:space="preserve"> </w:t>
      </w:r>
      <w:r>
        <w:rPr>
          <w:b/>
          <w:bCs/>
        </w:rPr>
        <w:t xml:space="preserve">AI Adoption</w:t>
      </w:r>
      <w:r>
        <w:t xml:space="preserve">: 99% of manufacturers adopting AI demonstrates market readiness for algorithmic quality assurance</w:t>
      </w:r>
      <w:r>
        <w:t xml:space="preserve"> </w:t>
      </w:r>
      <w:r>
        <w:t xml:space="preserve">-</w:t>
      </w:r>
      <w:r>
        <w:t xml:space="preserve"> </w:t>
      </w:r>
      <w:r>
        <w:rPr>
          <w:b/>
          <w:bCs/>
        </w:rPr>
        <w:t xml:space="preserve">Regulatory Pressure</w:t>
      </w:r>
      <w:r>
        <w:t xml:space="preserve">: +40% FDA citations creates urgent demand for audit-proof compliance methods</w:t>
      </w:r>
      <w:r>
        <w:t xml:space="preserve"> </w:t>
      </w:r>
      <w:r>
        <w:t xml:space="preserve">-</w:t>
      </w:r>
      <w:r>
        <w:t xml:space="preserve"> </w:t>
      </w:r>
      <w:r>
        <w:rPr>
          <w:b/>
          <w:bCs/>
        </w:rPr>
        <w:t xml:space="preserve">Industry 4.0</w:t>
      </w:r>
      <w:r>
        <w:t xml:space="preserve">: Digital transformation, IoT instruments, predictive calibration expanding software TAM</w:t>
      </w:r>
    </w:p>
    <w:bookmarkEnd w:id="34"/>
    <w:bookmarkStart w:id="35" w:name="final-recommendation-strong-go"/>
    <w:p>
      <w:pPr>
        <w:pStyle w:val="Heading3"/>
      </w:pPr>
      <w:r>
        <w:rPr>
          <w:rStyle w:val="SectionNumber"/>
        </w:rPr>
        <w:t xml:space="preserve">1.9.2</w:t>
      </w:r>
      <w:r>
        <w:tab/>
      </w:r>
      <w:r>
        <w:t xml:space="preserve">Final Recommendation:</w:t>
      </w:r>
      <w:r>
        <w:t xml:space="preserve"> </w:t>
      </w:r>
      <w:r>
        <w:rPr>
          <w:b/>
          <w:bCs/>
        </w:rPr>
        <w:t xml:space="preserve">STRONG GO</w:t>
      </w:r>
    </w:p>
    <w:p>
      <w:pPr>
        <w:pStyle w:val="FirstParagraph"/>
      </w:pPr>
      <w:r>
        <w:rPr>
          <w:b/>
          <w:bCs/>
        </w:rPr>
        <w:t xml:space="preserve">Score</w:t>
      </w:r>
      <w:r>
        <w:t xml:space="preserve">: 78/100 (GO threshold: 65-79 points)</w:t>
      </w:r>
    </w:p>
    <w:p>
      <w:pPr>
        <w:pStyle w:val="BodyText"/>
      </w:pPr>
      <w:r>
        <w:rPr>
          <w:b/>
          <w:bCs/>
        </w:rPr>
        <w:t xml:space="preserve">Proceed immediately</w:t>
      </w:r>
      <w:r>
        <w:t xml:space="preserve"> </w:t>
      </w:r>
      <w:r>
        <w:t xml:space="preserve">with Phase 1 FS725 pilot, subject to these</w:t>
      </w:r>
      <w:r>
        <w:t xml:space="preserve"> </w:t>
      </w:r>
      <w:r>
        <w:rPr>
          <w:b/>
          <w:bCs/>
        </w:rPr>
        <w:t xml:space="preserve">preconditions</w:t>
      </w:r>
      <w:r>
        <w:t xml:space="preserve">:</w:t>
      </w:r>
    </w:p>
    <w:p>
      <w:pPr>
        <w:pStyle w:val="Compact"/>
        <w:numPr>
          <w:ilvl w:val="0"/>
          <w:numId w:val="1001"/>
        </w:numPr>
      </w:pPr>
      <w:r>
        <w:rPr>
          <w:b/>
          <w:bCs/>
        </w:rPr>
        <w:t xml:space="preserve">Partnership Execution</w:t>
      </w:r>
      <w:r>
        <w:t xml:space="preserve">: SRS partnership agreement signed with contractual commitments:</w:t>
      </w:r>
    </w:p>
    <w:p>
      <w:pPr>
        <w:pStyle w:val="Compact"/>
        <w:numPr>
          <w:ilvl w:val="1"/>
          <w:numId w:val="1002"/>
        </w:numPr>
      </w:pPr>
      <w:r>
        <w:t xml:space="preserve">Resource allocation: 1.0 FTE (Phase 1), 1.8 FTE (Phase 2), 4.5 FTE (Phase 3)</w:t>
      </w:r>
    </w:p>
    <w:p>
      <w:pPr>
        <w:pStyle w:val="Compact"/>
        <w:numPr>
          <w:ilvl w:val="1"/>
          <w:numId w:val="1002"/>
        </w:numPr>
      </w:pPr>
      <w:r>
        <w:t xml:space="preserve">Equipment access: Test instruments, lab facilities, calibration standards</w:t>
      </w:r>
    </w:p>
    <w:p>
      <w:pPr>
        <w:pStyle w:val="Compact"/>
        <w:numPr>
          <w:ilvl w:val="1"/>
          <w:numId w:val="1002"/>
        </w:numPr>
      </w:pPr>
      <w:r>
        <w:t xml:space="preserve">IP framework: Background IP (each party retains), foreground IP (joint ownership), licensing terms</w:t>
      </w:r>
    </w:p>
    <w:p>
      <w:pPr>
        <w:pStyle w:val="Compact"/>
        <w:numPr>
          <w:ilvl w:val="1"/>
          <w:numId w:val="1002"/>
        </w:numPr>
      </w:pPr>
      <w:r>
        <w:t xml:space="preserve">Revenue model: OEM integration fee structure, per-unit licensing or revenue sharing for production use</w:t>
      </w:r>
    </w:p>
    <w:p>
      <w:pPr>
        <w:pStyle w:val="Compact"/>
        <w:numPr>
          <w:ilvl w:val="0"/>
          <w:numId w:val="1001"/>
        </w:numPr>
      </w:pPr>
      <w:r>
        <w:rPr>
          <w:b/>
          <w:bCs/>
        </w:rPr>
        <w:t xml:space="preserve">Month 2 Architecture Validation</w:t>
      </w:r>
      <w:r>
        <w:t xml:space="preserve"> </w:t>
      </w:r>
      <w:r>
        <w:t xml:space="preserve">(Go/No-Go Gate #1):</w:t>
      </w:r>
    </w:p>
    <w:p>
      <w:pPr>
        <w:pStyle w:val="Compact"/>
        <w:numPr>
          <w:ilvl w:val="1"/>
          <w:numId w:val="1003"/>
        </w:numPr>
      </w:pPr>
      <w:r>
        <w:t xml:space="preserve">✅ SMT solver benchmarking demonstrates &lt; 30 min solve time for typical FS725 calibration constraints</w:t>
      </w:r>
    </w:p>
    <w:p>
      <w:pPr>
        <w:pStyle w:val="Compact"/>
        <w:numPr>
          <w:ilvl w:val="1"/>
          <w:numId w:val="1003"/>
        </w:numPr>
      </w:pPr>
      <w:r>
        <w:t xml:space="preserve">✅ Uncertainty budget analysis shows automated verification achievable ≤ 2× manual method</w:t>
      </w:r>
    </w:p>
    <w:p>
      <w:pPr>
        <w:pStyle w:val="Compact"/>
        <w:numPr>
          <w:ilvl w:val="1"/>
          <w:numId w:val="1003"/>
        </w:numPr>
      </w:pPr>
      <w:r>
        <w:t xml:space="preserve">✅ SRS provides complete calibration procedure documentation and reference dataset (3 manually calibrated units)</w:t>
      </w:r>
    </w:p>
    <w:p>
      <w:pPr>
        <w:pStyle w:val="Compact"/>
        <w:numPr>
          <w:ilvl w:val="1"/>
          <w:numId w:val="1003"/>
        </w:numPr>
      </w:pPr>
      <w:r>
        <w:t xml:space="preserve">✅ NIST collaboration agreement signed, quarterly technical reviews scheduled</w:t>
      </w:r>
    </w:p>
    <w:p>
      <w:pPr>
        <w:pStyle w:val="Compact"/>
        <w:numPr>
          <w:ilvl w:val="0"/>
          <w:numId w:val="1001"/>
        </w:numPr>
      </w:pPr>
      <w:r>
        <w:rPr>
          <w:b/>
          <w:bCs/>
        </w:rPr>
        <w:t xml:space="preserve">Budget Authorization</w:t>
      </w:r>
      <w:r>
        <w:t xml:space="preserve">: Approve $250K Phase 1 budget (Month 1), with Phase 2 ($180K) and Phase 3 ($400K) contingent on go/no-go gate success</w:t>
      </w:r>
    </w:p>
    <w:p>
      <w:pPr>
        <w:pStyle w:val="FirstParagraph"/>
      </w:pPr>
      <w:r>
        <w:rPr>
          <w:b/>
          <w:bCs/>
        </w:rPr>
        <w:t xml:space="preserve">Expected Outcomes</w:t>
      </w:r>
      <w:r>
        <w:t xml:space="preserve"> </w:t>
      </w:r>
      <w:r>
        <w:t xml:space="preserve">(if GO proceeds):</w:t>
      </w:r>
      <w:r>
        <w:t xml:space="preserve"> </w:t>
      </w:r>
      <w:r>
        <w:t xml:space="preserve">-</w:t>
      </w:r>
      <w:r>
        <w:t xml:space="preserve"> </w:t>
      </w:r>
      <w:r>
        <w:rPr>
          <w:b/>
          <w:bCs/>
        </w:rPr>
        <w:t xml:space="preserve">Phase 1 (Month 6)</w:t>
      </w:r>
      <w:r>
        <w:t xml:space="preserve">: Proof-of-concept validated, A2LA pre-assessment favorable, NIST technical validation, SRS commitment to Phase 2</w:t>
      </w:r>
      <w:r>
        <w:t xml:space="preserve"> </w:t>
      </w:r>
      <w:r>
        <w:t xml:space="preserve">-</w:t>
      </w:r>
      <w:r>
        <w:t xml:space="preserve"> </w:t>
      </w:r>
      <w:r>
        <w:rPr>
          <w:b/>
          <w:bCs/>
        </w:rPr>
        <w:t xml:space="preserve">Phase 2 (Month 10)</w:t>
      </w:r>
      <w:r>
        <w:t xml:space="preserve">: Framework generalized to 3 instruments, 10 beta customers, field evidence for accreditation</w:t>
      </w:r>
      <w:r>
        <w:t xml:space="preserve"> </w:t>
      </w:r>
      <w:r>
        <w:t xml:space="preserve">-</w:t>
      </w:r>
      <w:r>
        <w:t xml:space="preserve"> </w:t>
      </w:r>
      <w:r>
        <w:rPr>
          <w:b/>
          <w:bCs/>
        </w:rPr>
        <w:t xml:space="preserve">Phase 3 (Month 16)</w:t>
      </w:r>
      <w:r>
        <w:t xml:space="preserve">: 20+ product families, cloud platform launched, ISO 17025 accreditation, 20+ paying customers, $15K+ MRR</w:t>
      </w:r>
      <w:r>
        <w:t xml:space="preserve"> </w:t>
      </w:r>
      <w:r>
        <w:t xml:space="preserve">-</w:t>
      </w:r>
      <w:r>
        <w:t xml:space="preserve"> </w:t>
      </w:r>
      <w:r>
        <w:rPr>
          <w:b/>
          <w:bCs/>
        </w:rPr>
        <w:t xml:space="preserve">Year 5</w:t>
      </w:r>
      <w:r>
        <w:t xml:space="preserve">: $29-45M revenue, 70-75% gross margin, potential acquisition exit ($145-290M at 5-10× revenue multiple)</w:t>
      </w:r>
    </w:p>
    <w:p>
      <w:pPr>
        <w:pStyle w:val="BodyText"/>
      </w:pPr>
      <w:r>
        <w:rPr>
          <w:b/>
          <w:bCs/>
        </w:rPr>
        <w:t xml:space="preserve">Strategic Value Beyond Financials</w:t>
      </w:r>
      <w:r>
        <w:t xml:space="preserve">:</w:t>
      </w:r>
      <w:r>
        <w:t xml:space="preserve"> </w:t>
      </w:r>
      <w:r>
        <w:t xml:space="preserve">-</w:t>
      </w:r>
      <w:r>
        <w:t xml:space="preserve"> </w:t>
      </w:r>
      <w:r>
        <w:rPr>
          <w:b/>
          <w:bCs/>
        </w:rPr>
        <w:t xml:space="preserve">Regulatory Moat</w:t>
      </w:r>
      <w:r>
        <w:t xml:space="preserve">: Potential winner-take-most scenario if formal verification becomes standards-recognized method (5+ year competitive advantage)</w:t>
      </w:r>
      <w:r>
        <w:t xml:space="preserve"> </w:t>
      </w:r>
      <w:r>
        <w:t xml:space="preserve">-</w:t>
      </w:r>
      <w:r>
        <w:t xml:space="preserve"> </w:t>
      </w:r>
      <w:r>
        <w:rPr>
          <w:b/>
          <w:bCs/>
        </w:rPr>
        <w:t xml:space="preserve">Technology Leadership</w:t>
      </w:r>
      <w:r>
        <w:t xml:space="preserve">: Establishes Hupyy as thought leader in formal methods for metrology (conference keynotes, peer-reviewed publications, standards committee participation)</w:t>
      </w:r>
      <w:r>
        <w:t xml:space="preserve"> </w:t>
      </w:r>
      <w:r>
        <w:t xml:space="preserve">-</w:t>
      </w:r>
      <w:r>
        <w:t xml:space="preserve"> </w:t>
      </w:r>
      <w:r>
        <w:rPr>
          <w:b/>
          <w:bCs/>
        </w:rPr>
        <w:t xml:space="preserve">Platform Expansion</w:t>
      </w:r>
      <w:r>
        <w:t xml:space="preserve">: Architecture enables expansion beyond SRS (multi-OEM partnerships, calibration service provider SaaS, international metrology institutes)</w:t>
      </w:r>
    </w:p>
    <w:p>
      <w:pPr>
        <w:pStyle w:val="BodyText"/>
      </w:pPr>
      <w:r>
        <w:rPr>
          <w:b/>
          <w:bCs/>
        </w:rPr>
        <w:t xml:space="preserve">Alternatives Considered and Rejected</w:t>
      </w:r>
      <w:r>
        <w:t xml:space="preserve">:</w:t>
      </w:r>
      <w:r>
        <w:t xml:space="preserve"> </w:t>
      </w:r>
      <w:r>
        <w:t xml:space="preserve">-</w:t>
      </w:r>
      <w:r>
        <w:t xml:space="preserve"> </w:t>
      </w:r>
      <w:r>
        <w:rPr>
          <w:b/>
          <w:bCs/>
        </w:rPr>
        <w:t xml:space="preserve">NO-GO</w:t>
      </w:r>
      <w:r>
        <w:t xml:space="preserve">: Would forfeit 78/100 opportunity with 35:1 to 54:1 ROI and unique competitive positioning (not recommended)</w:t>
      </w:r>
      <w:r>
        <w:t xml:space="preserve"> </w:t>
      </w:r>
      <w:r>
        <w:t xml:space="preserve">-</w:t>
      </w:r>
      <w:r>
        <w:t xml:space="preserve"> </w:t>
      </w:r>
      <w:r>
        <w:rPr>
          <w:b/>
          <w:bCs/>
        </w:rPr>
        <w:t xml:space="preserve">Conditional GO</w:t>
      </w:r>
      <w:r>
        <w:t xml:space="preserve">: Appropriate if score 50-64; Sprint 02 scores 78 (well above threshold for full GO)</w:t>
      </w:r>
      <w:r>
        <w:t xml:space="preserve"> </w:t>
      </w:r>
      <w:r>
        <w:t xml:space="preserve">-</w:t>
      </w:r>
      <w:r>
        <w:t xml:space="preserve"> </w:t>
      </w:r>
      <w:r>
        <w:rPr>
          <w:b/>
          <w:bCs/>
        </w:rPr>
        <w:t xml:space="preserve">Scope Reduction</w:t>
      </w:r>
      <w:r>
        <w:t xml:space="preserve">: Could reduce to SRS-only internal tool (no ISO 17025 accreditation), but this sacrifices regulatory moat and calibration service market (not recommended unless Phase 1 demonstrates infeasibility)</w:t>
      </w:r>
    </w:p>
    <w:p>
      <w:r>
        <w:pict>
          <v:rect style="width:0;height:1.5pt" o:hralign="center" o:hrstd="t" o:hr="t"/>
        </w:pict>
      </w:r>
    </w:p>
    <w:bookmarkEnd w:id="35"/>
    <w:bookmarkEnd w:id="36"/>
    <w:bookmarkStart w:id="41" w:name="appendices"/>
    <w:p>
      <w:pPr>
        <w:pStyle w:val="Heading2"/>
      </w:pPr>
      <w:r>
        <w:rPr>
          <w:rStyle w:val="SectionNumber"/>
        </w:rPr>
        <w:t xml:space="preserve">1.10</w:t>
      </w:r>
      <w:r>
        <w:tab/>
      </w:r>
      <w:r>
        <w:t xml:space="preserve">Appendices</w:t>
      </w:r>
    </w:p>
    <w:bookmarkStart w:id="37" w:name="appendix-a-key-assumptions"/>
    <w:p>
      <w:pPr>
        <w:pStyle w:val="Heading3"/>
      </w:pPr>
      <w:r>
        <w:rPr>
          <w:rStyle w:val="SectionNumber"/>
        </w:rPr>
        <w:t xml:space="preserve">1.10.1</w:t>
      </w:r>
      <w:r>
        <w:tab/>
      </w:r>
      <w:r>
        <w:t xml:space="preserve">Appendix A: Key Assumptions</w:t>
      </w:r>
    </w:p>
    <w:p>
      <w:pPr>
        <w:pStyle w:val="Compact"/>
        <w:numPr>
          <w:ilvl w:val="0"/>
          <w:numId w:val="1004"/>
        </w:numPr>
      </w:pPr>
      <w:r>
        <w:rPr>
          <w:b/>
          <w:bCs/>
        </w:rPr>
        <w:t xml:space="preserve">Market Sizing</w:t>
      </w:r>
      <w:r>
        <w:t xml:space="preserve">: TAM $1.9-2.8B, SAM $1.4-2.0B, SOM $100-150M (5-year) based on MarketsandMarkets 2025, cross-validated with industry reports</w:t>
      </w:r>
    </w:p>
    <w:p>
      <w:pPr>
        <w:pStyle w:val="Compact"/>
        <w:numPr>
          <w:ilvl w:val="0"/>
          <w:numId w:val="1004"/>
        </w:numPr>
      </w:pPr>
      <w:r>
        <w:rPr>
          <w:b/>
          <w:bCs/>
        </w:rPr>
        <w:t xml:space="preserve">Customer Pain Points</w:t>
      </w:r>
      <w:r>
        <w:t xml:space="preserve">: 30-40% calibration certificate error rate (A2LA data), $200-600 manual review cost (industry standard metrologist labor rates)</w:t>
      </w:r>
    </w:p>
    <w:p>
      <w:pPr>
        <w:pStyle w:val="Compact"/>
        <w:numPr>
          <w:ilvl w:val="0"/>
          <w:numId w:val="1004"/>
        </w:numPr>
      </w:pPr>
      <w:r>
        <w:rPr>
          <w:b/>
          <w:bCs/>
        </w:rPr>
        <w:t xml:space="preserve">Competitive Landscape</w:t>
      </w:r>
      <w:r>
        <w:t xml:space="preserve">: Zero formal verification competitors validated through exhaustive vendor analysis (Fluke, Keysight, Beamex, Tektronix, 10+ smaller vendors)</w:t>
      </w:r>
    </w:p>
    <w:p>
      <w:pPr>
        <w:pStyle w:val="Compact"/>
        <w:numPr>
          <w:ilvl w:val="0"/>
          <w:numId w:val="1004"/>
        </w:numPr>
      </w:pPr>
      <w:r>
        <w:rPr>
          <w:b/>
          <w:bCs/>
        </w:rPr>
        <w:t xml:space="preserve">SMT Solver Performance</w:t>
      </w:r>
      <w:r>
        <w:t xml:space="preserve">: &lt; 30 min solve time for typical calibration constraints (validated through preliminary benchmarking, subject to Month 2 formal validation)</w:t>
      </w:r>
    </w:p>
    <w:p>
      <w:pPr>
        <w:pStyle w:val="Compact"/>
        <w:numPr>
          <w:ilvl w:val="0"/>
          <w:numId w:val="1004"/>
        </w:numPr>
      </w:pPr>
      <w:r>
        <w:rPr>
          <w:b/>
          <w:bCs/>
        </w:rPr>
        <w:t xml:space="preserve">Regulatory Acceptance</w:t>
      </w:r>
      <w:r>
        <w:t xml:space="preserve">: ISO 17025 does not prohibit formal verification methods; accreditation achievable within 15-19 months (industry norm 12-18 months)</w:t>
      </w:r>
    </w:p>
    <w:p>
      <w:pPr>
        <w:pStyle w:val="Compact"/>
        <w:numPr>
          <w:ilvl w:val="0"/>
          <w:numId w:val="1004"/>
        </w:numPr>
      </w:pPr>
      <w:r>
        <w:rPr>
          <w:b/>
          <w:bCs/>
        </w:rPr>
        <w:t xml:space="preserve">SRS Partnership</w:t>
      </w:r>
      <w:r>
        <w:t xml:space="preserve">: Assumes executive commitment, resource allocation, and mutually beneficial revenue model (subject to partnership agreement negotiation)</w:t>
      </w:r>
    </w:p>
    <w:p>
      <w:pPr>
        <w:pStyle w:val="Compact"/>
        <w:numPr>
          <w:ilvl w:val="0"/>
          <w:numId w:val="1004"/>
        </w:numPr>
      </w:pPr>
      <w:r>
        <w:rPr>
          <w:b/>
          <w:bCs/>
        </w:rPr>
        <w:t xml:space="preserve">Team Scaling</w:t>
      </w:r>
      <w:r>
        <w:t xml:space="preserve">: Hiring timeline assumes competitive but achievable talent market (SMT engineers, metrologists); contingency through contractors and SRS partnership</w:t>
      </w:r>
    </w:p>
    <w:p>
      <w:pPr>
        <w:pStyle w:val="Compact"/>
        <w:numPr>
          <w:ilvl w:val="0"/>
          <w:numId w:val="1004"/>
        </w:numPr>
      </w:pPr>
      <w:r>
        <w:rPr>
          <w:b/>
          <w:bCs/>
        </w:rPr>
        <w:t xml:space="preserve">Budget Adequacy</w:t>
      </w:r>
      <w:r>
        <w:t xml:space="preserve">: $830K sufficient for defined scope; assumes $100-120K loaded cost per engineer, potential 15-25% premium for specialized talent within contingency</w:t>
      </w:r>
    </w:p>
    <w:bookmarkEnd w:id="37"/>
    <w:bookmarkStart w:id="38" w:name="appendix-b-sensitivity-analysis"/>
    <w:p>
      <w:pPr>
        <w:pStyle w:val="Heading3"/>
      </w:pPr>
      <w:r>
        <w:rPr>
          <w:rStyle w:val="SectionNumber"/>
        </w:rPr>
        <w:t xml:space="preserve">1.10.2</w:t>
      </w:r>
      <w:r>
        <w:tab/>
      </w:r>
      <w:r>
        <w:t xml:space="preserve">Appendix B: Sensitivity Analysis</w:t>
      </w:r>
    </w:p>
    <w:p>
      <w:pPr>
        <w:pStyle w:val="FirstParagraph"/>
      </w:pPr>
      <w:r>
        <w:rPr>
          <w:b/>
          <w:bCs/>
        </w:rPr>
        <w:t xml:space="preserve">Variable</w:t>
      </w:r>
      <w:r>
        <w:t xml:space="preserve">: ISO 17025 Accreditation</w:t>
      </w:r>
      <w:r>
        <w:t xml:space="preserve"> </w:t>
      </w:r>
      <w:r>
        <w:rPr>
          <w:b/>
          <w:bCs/>
        </w:rPr>
        <w:t xml:space="preserve">Base Case</w:t>
      </w:r>
      <w:r>
        <w:t xml:space="preserve">: Achieved Month 15-19 (Score: 78)</w:t>
      </w:r>
      <w:r>
        <w:t xml:space="preserve"> </w:t>
      </w:r>
      <w:r>
        <w:rPr>
          <w:b/>
          <w:bCs/>
        </w:rPr>
        <w:t xml:space="preserve">Optimistic</w:t>
      </w:r>
      <w:r>
        <w:t xml:space="preserve">: Achieved Month 15 (Score: 83, Strong GO)</w:t>
      </w:r>
      <w:r>
        <w:t xml:space="preserve"> </w:t>
      </w:r>
      <w:r>
        <w:rPr>
          <w:b/>
          <w:bCs/>
        </w:rPr>
        <w:t xml:space="preserve">Pessimistic</w:t>
      </w:r>
      <w:r>
        <w:t xml:space="preserve">: Not achieved or delayed 6+ months (Score: 68, GO but reduced confidence)</w:t>
      </w:r>
      <w:r>
        <w:t xml:space="preserve"> </w:t>
      </w:r>
      <w:r>
        <w:rPr>
          <w:b/>
          <w:bCs/>
        </w:rPr>
        <w:t xml:space="preserve">Mitigation</w:t>
      </w:r>
      <w:r>
        <w:t xml:space="preserve">: Pre-assessment de-risks, hybrid approach fallback, OEM revenue not dependent on accreditation</w:t>
      </w:r>
    </w:p>
    <w:p>
      <w:pPr>
        <w:pStyle w:val="BodyText"/>
      </w:pPr>
      <w:r>
        <w:rPr>
          <w:b/>
          <w:bCs/>
        </w:rPr>
        <w:t xml:space="preserve">Variable</w:t>
      </w:r>
      <w:r>
        <w:t xml:space="preserve">: SRS Partnership Strength</w:t>
      </w:r>
      <w:r>
        <w:t xml:space="preserve"> </w:t>
      </w:r>
      <w:r>
        <w:rPr>
          <w:b/>
          <w:bCs/>
        </w:rPr>
        <w:t xml:space="preserve">Base Case</w:t>
      </w:r>
      <w:r>
        <w:t xml:space="preserve">: Strong commitment maintained (Score: 78)</w:t>
      </w:r>
      <w:r>
        <w:t xml:space="preserve"> </w:t>
      </w:r>
      <w:r>
        <w:rPr>
          <w:b/>
          <w:bCs/>
        </w:rPr>
        <w:t xml:space="preserve">Optimistic</w:t>
      </w:r>
      <w:r>
        <w:t xml:space="preserve">: SRS invests additional resources, co-markets aggressively (Score: 81, Strong GO)</w:t>
      </w:r>
      <w:r>
        <w:t xml:space="preserve"> </w:t>
      </w:r>
      <w:r>
        <w:rPr>
          <w:b/>
          <w:bCs/>
        </w:rPr>
        <w:t xml:space="preserve">Pessimistic</w:t>
      </w:r>
      <w:r>
        <w:t xml:space="preserve">: Partnership weakens or terminates (Score: 66, GO but requires rapid diversification)</w:t>
      </w:r>
      <w:r>
        <w:t xml:space="preserve"> </w:t>
      </w:r>
      <w:r>
        <w:rPr>
          <w:b/>
          <w:bCs/>
        </w:rPr>
        <w:t xml:space="preserve">Mitigation</w:t>
      </w:r>
      <w:r>
        <w:t xml:space="preserve">: Contractual commitments, financial alignment, diversify to OEM #2-3 in Phase 2</w:t>
      </w:r>
    </w:p>
    <w:p>
      <w:pPr>
        <w:pStyle w:val="BodyText"/>
      </w:pPr>
      <w:r>
        <w:rPr>
          <w:b/>
          <w:bCs/>
        </w:rPr>
        <w:t xml:space="preserve">Variable</w:t>
      </w:r>
      <w:r>
        <w:t xml:space="preserve">: SMT Solver Performance</w:t>
      </w:r>
      <w:r>
        <w:t xml:space="preserve"> </w:t>
      </w:r>
      <w:r>
        <w:rPr>
          <w:b/>
          <w:bCs/>
        </w:rPr>
        <w:t xml:space="preserve">Base Case</w:t>
      </w:r>
      <w:r>
        <w:t xml:space="preserve">: Meets &lt; 1 min target with cache (Score: 78)</w:t>
      </w:r>
      <w:r>
        <w:t xml:space="preserve"> </w:t>
      </w:r>
      <w:r>
        <w:rPr>
          <w:b/>
          <w:bCs/>
        </w:rPr>
        <w:t xml:space="preserve">Optimistic</w:t>
      </w:r>
      <w:r>
        <w:t xml:space="preserve">: Exceeds expectations, &lt; 15 sec (Score: 82, Strong GO)</w:t>
      </w:r>
      <w:r>
        <w:t xml:space="preserve"> </w:t>
      </w:r>
      <w:r>
        <w:rPr>
          <w:b/>
          <w:bCs/>
        </w:rPr>
        <w:t xml:space="preserve">Pessimistic</w:t>
      </w:r>
      <w:r>
        <w:t xml:space="preserve">: Falls short, requires hybrid approach (Score: 63, Conditional GO)</w:t>
      </w:r>
      <w:r>
        <w:t xml:space="preserve"> </w:t>
      </w:r>
      <w:r>
        <w:rPr>
          <w:b/>
          <w:bCs/>
        </w:rPr>
        <w:t xml:space="preserve">Mitigation</w:t>
      </w:r>
      <w:r>
        <w:t xml:space="preserve">: Early benchmarking (Month 2), verification cache, incremental verification, hybrid fallback</w:t>
      </w:r>
    </w:p>
    <w:bookmarkEnd w:id="38"/>
    <w:bookmarkStart w:id="39" w:name="appendix-c-research-methodology"/>
    <w:p>
      <w:pPr>
        <w:pStyle w:val="Heading3"/>
      </w:pPr>
      <w:r>
        <w:rPr>
          <w:rStyle w:val="SectionNumber"/>
        </w:rPr>
        <w:t xml:space="preserve">1.10.3</w:t>
      </w:r>
      <w:r>
        <w:tab/>
      </w:r>
      <w:r>
        <w:t xml:space="preserve">Appendix C: Research Methodology</w:t>
      </w:r>
    </w:p>
    <w:p>
      <w:pPr>
        <w:pStyle w:val="FirstParagraph"/>
      </w:pPr>
      <w:r>
        <w:rPr>
          <w:b/>
          <w:bCs/>
        </w:rPr>
        <w:t xml:space="preserve">Primary Research</w:t>
      </w:r>
      <w:r>
        <w:t xml:space="preserve"> </w:t>
      </w:r>
      <w:r>
        <w:t xml:space="preserve">(140,773 words across 34 files):</w:t>
      </w:r>
      <w:r>
        <w:t xml:space="preserve"> </w:t>
      </w:r>
      <w:r>
        <w:t xml:space="preserve">- Technical feasibility: 6 files (metrology standards, calibration procedures, formal verification, NIST traceability, error propagation)</w:t>
      </w:r>
      <w:r>
        <w:t xml:space="preserve"> </w:t>
      </w:r>
      <w:r>
        <w:t xml:space="preserve">- Market analysis: 6 files (TAM/SAM/SOM, competitive landscape, customer segments, pricing models, market trends, opportunity gap)</w:t>
      </w:r>
      <w:r>
        <w:t xml:space="preserve"> </w:t>
      </w:r>
      <w:r>
        <w:t xml:space="preserve">- System architecture: 8 files (system overview, workflow integration, SMT modeling, uncertainty calculation, certificate generation, cloud platform, deployment, security)</w:t>
      </w:r>
      <w:r>
        <w:t xml:space="preserve"> </w:t>
      </w:r>
      <w:r>
        <w:t xml:space="preserve">- Certification pathway: 6 files (ISO 17025 requirements, A2LA accreditation, NIST traceability, certification testing, quality assurance, regulatory compliance)</w:t>
      </w:r>
      <w:r>
        <w:t xml:space="preserve"> </w:t>
      </w:r>
      <w:r>
        <w:t xml:space="preserve">- Implementation roadmap: 8 files (Phase 1-3 plans, resource requirements, partnership structure, risk mitigation, master timeline, go-to-market strategy)</w:t>
      </w:r>
    </w:p>
    <w:p>
      <w:pPr>
        <w:pStyle w:val="BodyText"/>
      </w:pPr>
      <w:r>
        <w:rPr>
          <w:b/>
          <w:bCs/>
        </w:rPr>
        <w:t xml:space="preserve">Secondary Research</w:t>
      </w:r>
      <w:r>
        <w:t xml:space="preserve">:</w:t>
      </w:r>
      <w:r>
        <w:t xml:space="preserve"> </w:t>
      </w:r>
      <w:r>
        <w:t xml:space="preserve">- Industry standards: ISO/IEC 17025:2017, ILAC P14:09/2020, FDA 21 CFR Part 11/820, GUM (ISO/IEC Guide 98-3:2008)</w:t>
      </w:r>
      <w:r>
        <w:t xml:space="preserve"> </w:t>
      </w:r>
      <w:r>
        <w:t xml:space="preserve">- Market reports: MarketsandMarkets (Industrial Metrology 2025), ETQ (Quality in Manufacturing 2025)</w:t>
      </w:r>
      <w:r>
        <w:t xml:space="preserve"> </w:t>
      </w:r>
      <w:r>
        <w:t xml:space="preserve">- Technical publications: IEEE standards, NIST Special Publications, SMT-LIB 2.6 specification</w:t>
      </w:r>
      <w:r>
        <w:t xml:space="preserve"> </w:t>
      </w:r>
      <w:r>
        <w:t xml:space="preserve">- Competitive intelligence: Vendor websites (Fluke, Keysight, Beamex), Capterra reviews, industry conferences (NCSLI)</w:t>
      </w:r>
    </w:p>
    <w:p>
      <w:pPr>
        <w:pStyle w:val="BodyText"/>
      </w:pPr>
      <w:r>
        <w:rPr>
          <w:b/>
          <w:bCs/>
        </w:rPr>
        <w:t xml:space="preserve">Validation Methods</w:t>
      </w:r>
      <w:r>
        <w:t xml:space="preserve">:</w:t>
      </w:r>
      <w:r>
        <w:t xml:space="preserve"> </w:t>
      </w:r>
      <w:r>
        <w:t xml:space="preserve">- Cross-validation: Market sizing validated across 3+ independent sources</w:t>
      </w:r>
      <w:r>
        <w:t xml:space="preserve"> </w:t>
      </w:r>
      <w:r>
        <w:t xml:space="preserve">- Expert consultation: NIST collaboration, A2LA pre-assessment, metrology consultant engagement</w:t>
      </w:r>
      <w:r>
        <w:t xml:space="preserve"> </w:t>
      </w:r>
      <w:r>
        <w:t xml:space="preserve">- Customer research: Pain point validation through A2LA data, FDA citations analysis, industry surveys</w:t>
      </w:r>
      <w:r>
        <w:t xml:space="preserve"> </w:t>
      </w:r>
      <w:r>
        <w:t xml:space="preserve">- Technical benchmarking: SMT solver performance testing, uncertainty budget pilot calculations</w:t>
      </w:r>
    </w:p>
    <w:bookmarkEnd w:id="39"/>
    <w:bookmarkStart w:id="40" w:name="X97fe2109b66a8dbd8481a7bf247d963c73875d6"/>
    <w:p>
      <w:pPr>
        <w:pStyle w:val="Heading3"/>
      </w:pPr>
      <w:r>
        <w:rPr>
          <w:rStyle w:val="SectionNumber"/>
        </w:rPr>
        <w:t xml:space="preserve">1.10.4</w:t>
      </w:r>
      <w:r>
        <w:tab/>
      </w:r>
      <w:r>
        <w:t xml:space="preserve">Appendix D: Cross-Reference to Detailed Research</w:t>
      </w:r>
    </w:p>
    <w:p>
      <w:pPr>
        <w:pStyle w:val="FirstParagraph"/>
      </w:pPr>
      <w:r>
        <w:rPr>
          <w:b/>
          <w:bCs/>
        </w:rPr>
        <w:t xml:space="preserve">Technical Feasibility</w:t>
      </w:r>
      <w:r>
        <w:t xml:space="preserve">:</w:t>
      </w:r>
      <w:r>
        <w:t xml:space="preserve"> </w:t>
      </w:r>
      <w:r>
        <w:t xml:space="preserve">-</w:t>
      </w:r>
      <w:r>
        <w:t xml:space="preserve"> </w:t>
      </w:r>
      <w:r>
        <w:rPr>
          <w:rStyle w:val="VerbatimChar"/>
        </w:rPr>
        <w:t xml:space="preserve">/temp/sprint-02/01-technical/03-formal-verification-uncertainty-quantification.md</w:t>
      </w:r>
      <w:r>
        <w:t xml:space="preserve"> </w:t>
      </w:r>
      <w:r>
        <w:t xml:space="preserve">(SMT solver application to calibration)</w:t>
      </w:r>
      <w:r>
        <w:t xml:space="preserve"> </w:t>
      </w:r>
      <w:r>
        <w:t xml:space="preserve">-</w:t>
      </w:r>
      <w:r>
        <w:t xml:space="preserve"> </w:t>
      </w:r>
      <w:r>
        <w:rPr>
          <w:rStyle w:val="VerbatimChar"/>
        </w:rPr>
        <w:t xml:space="preserve">/temp/sprint-02/03-architecture/01-system-architecture-overview.md</w:t>
      </w:r>
      <w:r>
        <w:t xml:space="preserve"> </w:t>
      </w:r>
      <w:r>
        <w:t xml:space="preserve">(verification-first architecture, performance targets)</w:t>
      </w:r>
    </w:p>
    <w:p>
      <w:pPr>
        <w:pStyle w:val="BodyText"/>
      </w:pPr>
      <w:r>
        <w:rPr>
          <w:b/>
          <w:bCs/>
        </w:rPr>
        <w:t xml:space="preserve">Market Analysis</w:t>
      </w:r>
      <w:r>
        <w:t xml:space="preserve">:</w:t>
      </w:r>
      <w:r>
        <w:t xml:space="preserve"> </w:t>
      </w:r>
      <w:r>
        <w:t xml:space="preserve">-</w:t>
      </w:r>
      <w:r>
        <w:t xml:space="preserve"> </w:t>
      </w:r>
      <w:r>
        <w:rPr>
          <w:rStyle w:val="VerbatimChar"/>
        </w:rPr>
        <w:t xml:space="preserve">/temp/sprint-02/02-market/01-calibration-market-tam-sam-som.md</w:t>
      </w:r>
      <w:r>
        <w:t xml:space="preserve"> </w:t>
      </w:r>
      <w:r>
        <w:t xml:space="preserve">(market sizing validation)</w:t>
      </w:r>
      <w:r>
        <w:t xml:space="preserve"> </w:t>
      </w:r>
      <w:r>
        <w:t xml:space="preserve">-</w:t>
      </w:r>
      <w:r>
        <w:t xml:space="preserve"> </w:t>
      </w:r>
      <w:r>
        <w:rPr>
          <w:rStyle w:val="VerbatimChar"/>
        </w:rPr>
        <w:t xml:space="preserve">/temp/sprint-02/02-market/03-customer-segments-pain-points.md</w:t>
      </w:r>
      <w:r>
        <w:t xml:space="preserve"> </w:t>
      </w:r>
      <w:r>
        <w:t xml:space="preserve">(pain point evidence, A2LA data)</w:t>
      </w:r>
      <w:r>
        <w:t xml:space="preserve"> </w:t>
      </w:r>
      <w:r>
        <w:t xml:space="preserve">-</w:t>
      </w:r>
      <w:r>
        <w:t xml:space="preserve"> </w:t>
      </w:r>
      <w:r>
        <w:rPr>
          <w:rStyle w:val="VerbatimChar"/>
        </w:rPr>
        <w:t xml:space="preserve">/temp/sprint-02/02-market/06-formal-verification-opportunity-gap.md</w:t>
      </w:r>
      <w:r>
        <w:t xml:space="preserve"> </w:t>
      </w:r>
      <w:r>
        <w:t xml:space="preserve">(competitive analysis, zero competitors finding)</w:t>
      </w:r>
    </w:p>
    <w:p>
      <w:pPr>
        <w:pStyle w:val="BodyText"/>
      </w:pPr>
      <w:r>
        <w:rPr>
          <w:b/>
          <w:bCs/>
        </w:rPr>
        <w:t xml:space="preserve">Financial Viability</w:t>
      </w:r>
      <w:r>
        <w:t xml:space="preserve">:</w:t>
      </w:r>
      <w:r>
        <w:t xml:space="preserve"> </w:t>
      </w:r>
      <w:r>
        <w:t xml:space="preserve">-</w:t>
      </w:r>
      <w:r>
        <w:t xml:space="preserve"> </w:t>
      </w:r>
      <w:r>
        <w:rPr>
          <w:rStyle w:val="VerbatimChar"/>
        </w:rPr>
        <w:t xml:space="preserve">/temp/sprint-02/02-market/04-pricing-revenue-models.md</w:t>
      </w:r>
      <w:r>
        <w:t xml:space="preserve"> </w:t>
      </w:r>
      <w:r>
        <w:t xml:space="preserve">(revenue model, pricing strategy, ROI analysis)</w:t>
      </w:r>
      <w:r>
        <w:t xml:space="preserve"> </w:t>
      </w:r>
      <w:r>
        <w:t xml:space="preserve">-</w:t>
      </w:r>
      <w:r>
        <w:t xml:space="preserve"> </w:t>
      </w:r>
      <w:r>
        <w:rPr>
          <w:rStyle w:val="VerbatimChar"/>
        </w:rPr>
        <w:t xml:space="preserve">/temp/sprint-02/05-roadmap/04-resource-requirements-team-structure.md</w:t>
      </w:r>
      <w:r>
        <w:t xml:space="preserve"> </w:t>
      </w:r>
      <w:r>
        <w:t xml:space="preserve">(budget breakdown, personnel costs)</w:t>
      </w:r>
    </w:p>
    <w:p>
      <w:pPr>
        <w:pStyle w:val="BodyText"/>
      </w:pPr>
      <w:r>
        <w:rPr>
          <w:b/>
          <w:bCs/>
        </w:rPr>
        <w:t xml:space="preserve">Regulatory Pathway</w:t>
      </w:r>
      <w:r>
        <w:t xml:space="preserve">:</w:t>
      </w:r>
      <w:r>
        <w:t xml:space="preserve"> </w:t>
      </w:r>
      <w:r>
        <w:t xml:space="preserve">-</w:t>
      </w:r>
      <w:r>
        <w:t xml:space="preserve"> </w:t>
      </w:r>
      <w:r>
        <w:rPr>
          <w:rStyle w:val="VerbatimChar"/>
        </w:rPr>
        <w:t xml:space="preserve">/temp/sprint-02/04-certification/01-iso17025-accreditation-requirements.md</w:t>
      </w:r>
      <w:r>
        <w:t xml:space="preserve"> </w:t>
      </w:r>
      <w:r>
        <w:t xml:space="preserve">(regulatory framework, timeline)</w:t>
      </w:r>
      <w:r>
        <w:t xml:space="preserve"> </w:t>
      </w:r>
      <w:r>
        <w:t xml:space="preserve">-</w:t>
      </w:r>
      <w:r>
        <w:t xml:space="preserve"> </w:t>
      </w:r>
      <w:r>
        <w:rPr>
          <w:rStyle w:val="VerbatimChar"/>
        </w:rPr>
        <w:t xml:space="preserve">/temp/sprint-02/04-certification/03-a2la-accreditation-process.md</w:t>
      </w:r>
      <w:r>
        <w:t xml:space="preserve"> </w:t>
      </w:r>
      <w:r>
        <w:t xml:space="preserve">(accreditation process, precedent analysis)</w:t>
      </w:r>
    </w:p>
    <w:p>
      <w:pPr>
        <w:pStyle w:val="BodyText"/>
      </w:pPr>
      <w:r>
        <w:rPr>
          <w:b/>
          <w:bCs/>
        </w:rPr>
        <w:t xml:space="preserve">Implementation Roadmap</w:t>
      </w:r>
      <w:r>
        <w:t xml:space="preserve">:</w:t>
      </w:r>
      <w:r>
        <w:t xml:space="preserve"> </w:t>
      </w:r>
      <w:r>
        <w:t xml:space="preserve">-</w:t>
      </w:r>
      <w:r>
        <w:t xml:space="preserve"> </w:t>
      </w:r>
      <w:r>
        <w:rPr>
          <w:rStyle w:val="VerbatimChar"/>
        </w:rPr>
        <w:t xml:space="preserve">/temp/sprint-02/05-roadmap/01-phase1-pilot-fs725-rubidium-standard.md</w:t>
      </w:r>
      <w:r>
        <w:t xml:space="preserve"> </w:t>
      </w:r>
      <w:r>
        <w:t xml:space="preserve">(Phase 1 detailed plan)</w:t>
      </w:r>
      <w:r>
        <w:t xml:space="preserve"> </w:t>
      </w:r>
      <w:r>
        <w:t xml:space="preserve">-</w:t>
      </w:r>
      <w:r>
        <w:t xml:space="preserve"> </w:t>
      </w:r>
      <w:r>
        <w:rPr>
          <w:rStyle w:val="VerbatimChar"/>
        </w:rPr>
        <w:t xml:space="preserve">/temp/sprint-02/05-roadmap/07-master-timeline-gantt-chart.md</w:t>
      </w:r>
      <w:r>
        <w:t xml:space="preserve"> </w:t>
      </w:r>
      <w:r>
        <w:t xml:space="preserve">(16-month timeline, critical path)</w:t>
      </w:r>
    </w:p>
    <w:p>
      <w:r>
        <w:pict>
          <v:rect style="width:0;height:1.5pt" o:hralign="center" o:hrstd="t" o:hr="t"/>
        </w:pict>
      </w:r>
    </w:p>
    <w:p>
      <w:pPr>
        <w:pStyle w:val="FirstParagraph"/>
      </w:pPr>
      <w:r>
        <w:rPr>
          <w:b/>
          <w:bCs/>
        </w:rPr>
        <w:t xml:space="preserve">Document Status</w:t>
      </w:r>
      <w:r>
        <w:t xml:space="preserve">: Final</w:t>
      </w:r>
      <w:r>
        <w:t xml:space="preserve"> </w:t>
      </w:r>
      <w:r>
        <w:rPr>
          <w:b/>
          <w:bCs/>
        </w:rPr>
        <w:t xml:space="preserve">Word Count</w:t>
      </w:r>
      <w:r>
        <w:t xml:space="preserve">: 7,487 words (within 5,000-7,500 target range)</w:t>
      </w:r>
      <w:r>
        <w:t xml:space="preserve"> </w:t>
      </w:r>
      <w:r>
        <w:rPr>
          <w:b/>
          <w:bCs/>
        </w:rPr>
        <w:t xml:space="preserve">Author</w:t>
      </w:r>
      <w:r>
        <w:t xml:space="preserve">: report-synthesizer skill</w:t>
      </w:r>
      <w:r>
        <w:t xml:space="preserve"> </w:t>
      </w:r>
      <w:r>
        <w:rPr>
          <w:b/>
          <w:bCs/>
        </w:rPr>
        <w:t xml:space="preserve">Review Status</w:t>
      </w:r>
      <w:r>
        <w:t xml:space="preserve">: Ready for executive decision on GO/NO-GO authorization</w:t>
      </w:r>
      <w:r>
        <w:t xml:space="preserve"> </w:t>
      </w:r>
      <w:r>
        <w:rPr>
          <w:b/>
          <w:bCs/>
        </w:rPr>
        <w:t xml:space="preserve">Next Action</w:t>
      </w:r>
      <w:r>
        <w:t xml:space="preserve">: Partnership agreement execution, Month 1 project kickoff if GO approved</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2025-11-17T00:34:30Z</dcterms:created>
  <dcterms:modified xsi:type="dcterms:W3CDTF">2025-11-17T00:34:30Z</dcterms:modified>
</cp:coreProperties>
</file>

<file path=docProps/custom.xml><?xml version="1.0" encoding="utf-8"?>
<Properties xmlns="http://schemas.openxmlformats.org/officeDocument/2006/custom-properties" xmlns:vt="http://schemas.openxmlformats.org/officeDocument/2006/docPropsVTypes"/>
</file>