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о прохождении внешнего курса</w:t>
      </w:r>
    </w:p>
    <w:p>
      <w:pPr>
        <w:pStyle w:val="Subtitle"/>
      </w:pPr>
      <w:r>
        <w:t xml:space="preserve">2 этап</w:t>
      </w:r>
    </w:p>
    <w:p>
      <w:pPr>
        <w:pStyle w:val="Author"/>
      </w:pPr>
      <w:r>
        <w:t xml:space="preserve">Симонова Полина Игоревна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Пройти внешний курс</w:t>
      </w:r>
      <w:r>
        <w:t xml:space="preserve"> </w:t>
      </w:r>
      <w:r>
        <w:t xml:space="preserve">“Основы кибербезопасности”</w:t>
      </w:r>
      <w:r>
        <w:t xml:space="preserve"> </w:t>
      </w:r>
      <w:r>
        <w:t xml:space="preserve">на платформе Stepik. Получить начальные знания в сфере кибербезопасности.</w:t>
      </w:r>
    </w:p>
    <w:bookmarkEnd w:id="20"/>
    <w:bookmarkStart w:id="21" w:name="задание"/>
    <w:p>
      <w:pPr>
        <w:pStyle w:val="Heading1"/>
      </w:pPr>
      <w:r>
        <w:t xml:space="preserve">2. Задание</w:t>
      </w:r>
    </w:p>
    <w:p>
      <w:pPr>
        <w:pStyle w:val="FirstParagraph"/>
      </w:pPr>
      <w:r>
        <w:t xml:space="preserve">Пройти все обучающие материалы, и на их основании выполнить задания и тесты.</w:t>
      </w:r>
    </w:p>
    <w:bookmarkEnd w:id="21"/>
    <w:bookmarkStart w:id="22" w:name="теоретическое-введение"/>
    <w:p>
      <w:pPr>
        <w:pStyle w:val="Heading1"/>
      </w:pPr>
      <w:r>
        <w:t xml:space="preserve">3. Теоретическое введение</w:t>
      </w:r>
    </w:p>
    <w:p>
      <w:pPr>
        <w:pStyle w:val="FirstParagraph"/>
      </w:pPr>
      <w:r>
        <w:t xml:space="preserve">Шифрование больших объемов данных, например, жесткого диска или сегмента жесткого диска или какой-то большой флешки, осуществляется с помощью симметричного шифрования.</w:t>
      </w:r>
    </w:p>
    <w:p>
      <w:pPr>
        <w:pStyle w:val="BodyText"/>
      </w:pPr>
      <w:r>
        <w:t xml:space="preserve">Основной критерий стойкости пароля - это сложность его перебора. Самая основная атака на наши пароли - это банальный перебор всевозможных паролей, если мы знаем, что, например, пароль состоит из цифр и букв алфавита и каких-то еще символов, мы знаем в принципе весь алфавит, мощность этого алфавита, если мы еще, допустим, знаем длину пароля, то мы можем точно посчитать, каков размер множества всех паролей</w:t>
      </w:r>
    </w:p>
    <w:bookmarkEnd w:id="22"/>
    <w:bookmarkStart w:id="83" w:name="выполнение-лабораторной-работы"/>
    <w:p>
      <w:pPr>
        <w:pStyle w:val="Heading1"/>
      </w:pPr>
      <w:r>
        <w:t xml:space="preserve">4. Выполнение лабораторной работы</w:t>
      </w:r>
    </w:p>
    <w:p>
      <w:pPr>
        <w:pStyle w:val="FirstParagraph"/>
      </w:pPr>
      <w:r>
        <w:t xml:space="preserve">Шифрование диска переводит данные в нечитаемый код, поэтому загрузочный сектор вполне можно зашифровать. (рис. 1)</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2333625"/>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Задание 1</w:t>
            </w:r>
          </w:p>
          <w:bookmarkEnd w:id="26"/>
        </w:tc>
      </w:tr>
    </w:tbl>
    <w:p>
      <w:pPr>
        <w:pStyle w:val="BodyText"/>
      </w:pPr>
      <w:r>
        <w:t xml:space="preserve">Шифрование диска основано на симмеричном шифрвании. (рис.2)</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2333625"/>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Задание 2</w:t>
            </w:r>
          </w:p>
          <w:bookmarkEnd w:id="30"/>
        </w:tc>
      </w:tr>
    </w:tbl>
    <w:p>
      <w:pPr>
        <w:pStyle w:val="BodyText"/>
      </w:pPr>
      <w:r>
        <w:t xml:space="preserve">WireShark используется для анализа трафика, а Disk Utility - приложение для мониторинга памяти на макос. Соответственно, выделяем две оставшиеся программы.(рис.3)</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733800" cy="2333625"/>
                  <wp:effectExtent b="0" l="0" r="0" t="0"/>
                  <wp:docPr descr=""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Задание 3</w:t>
            </w:r>
          </w:p>
          <w:bookmarkEnd w:id="34"/>
        </w:tc>
      </w:tr>
    </w:tbl>
    <w:p>
      <w:pPr>
        <w:pStyle w:val="BodyText"/>
      </w:pPr>
      <w:r>
        <w:t xml:space="preserve">Стойкие пароли длинные, содержат заглавные и строчные символы, специальные символы и цифры. (рис.4)</w:t>
      </w:r>
    </w:p>
    <w:tbl>
      <w:tblPr>
        <w:tblStyle w:val="Table"/>
        <w:tblW w:type="pct" w:w="5000"/>
        <w:tblLayout w:type="fixed"/>
        <w:tblLook w:firstRow="0" w:lastRow="0" w:firstColumn="0" w:lastColumn="0" w:noHBand="0" w:noVBand="0" w:val="0000"/>
      </w:tblPr>
      <w:tblGrid>
        <w:gridCol w:w="7920"/>
      </w:tblGrid>
      <w:tr>
        <w:tc>
          <w:tcPr/>
          <w:bookmarkStart w:id="38" w:name="fig-004"/>
          <w:p>
            <w:pPr>
              <w:pStyle w:val="Compact"/>
              <w:jc w:val="center"/>
            </w:pPr>
            <w:r>
              <w:drawing>
                <wp:inline>
                  <wp:extent cx="3733800" cy="2333625"/>
                  <wp:effectExtent b="0" l="0" r="0" t="0"/>
                  <wp:docPr descr=""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Задание 4</w:t>
            </w:r>
          </w:p>
          <w:bookmarkEnd w:id="38"/>
        </w:tc>
      </w:tr>
    </w:tbl>
    <w:p>
      <w:pPr>
        <w:pStyle w:val="BodyText"/>
      </w:pPr>
      <w:r>
        <w:t xml:space="preserve">Все варианты ненавдежные, кроме менеджера паролей. (рис. 5)</w:t>
      </w:r>
    </w:p>
    <w:tbl>
      <w:tblPr>
        <w:tblStyle w:val="Table"/>
        <w:tblW w:type="pct" w:w="5000"/>
        <w:tblLayout w:type="fixed"/>
        <w:tblLook w:firstRow="0" w:lastRow="0" w:firstColumn="0" w:lastColumn="0" w:noHBand="0" w:noVBand="0" w:val="0000"/>
      </w:tblPr>
      <w:tblGrid>
        <w:gridCol w:w="7920"/>
      </w:tblGrid>
      <w:tr>
        <w:tc>
          <w:tcPr/>
          <w:bookmarkStart w:id="42" w:name="fig-005"/>
          <w:p>
            <w:pPr>
              <w:pStyle w:val="Compact"/>
              <w:jc w:val="center"/>
            </w:pPr>
            <w:r>
              <w:drawing>
                <wp:inline>
                  <wp:extent cx="3733800" cy="2333625"/>
                  <wp:effectExtent b="0" l="0" r="0" t="0"/>
                  <wp:docPr descr=""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Задание 5</w:t>
            </w:r>
          </w:p>
          <w:bookmarkEnd w:id="42"/>
        </w:tc>
      </w:tr>
    </w:tbl>
    <w:p>
      <w:pPr>
        <w:pStyle w:val="BodyText"/>
      </w:pPr>
      <w:r>
        <w:t xml:space="preserve">Капча проверяет, что действие выполняет человек. (рис.6)</w:t>
      </w:r>
    </w:p>
    <w:tbl>
      <w:tblPr>
        <w:tblStyle w:val="Table"/>
        <w:tblW w:type="pct" w:w="5000"/>
        <w:tblLayout w:type="fixed"/>
        <w:tblLook w:firstRow="0" w:lastRow="0" w:firstColumn="0" w:lastColumn="0" w:noHBand="0" w:noVBand="0" w:val="0000"/>
      </w:tblPr>
      <w:tblGrid>
        <w:gridCol w:w="7920"/>
      </w:tblGrid>
      <w:tr>
        <w:tc>
          <w:tcPr/>
          <w:bookmarkStart w:id="46" w:name="fig-006"/>
          <w:p>
            <w:pPr>
              <w:pStyle w:val="Compact"/>
              <w:jc w:val="center"/>
            </w:pPr>
            <w:r>
              <w:drawing>
                <wp:inline>
                  <wp:extent cx="3733800" cy="2333625"/>
                  <wp:effectExtent b="0" l="0" r="0" t="0"/>
                  <wp:docPr descr=""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Задание 6</w:t>
            </w:r>
          </w:p>
          <w:bookmarkEnd w:id="46"/>
        </w:tc>
      </w:tr>
    </w:tbl>
    <w:p>
      <w:pPr>
        <w:pStyle w:val="BodyText"/>
      </w:pPr>
      <w:r>
        <w:t xml:space="preserve">Хэширование паролей позволяет хранить их не в открытом виде (рис. 7)</w:t>
      </w:r>
    </w:p>
    <w:tbl>
      <w:tblPr>
        <w:tblStyle w:val="Table"/>
        <w:tblW w:type="pct" w:w="5000"/>
        <w:tblLayout w:type="fixed"/>
        <w:tblLook w:firstRow="0" w:lastRow="0" w:firstColumn="0" w:lastColumn="0" w:noHBand="0" w:noVBand="0" w:val="0000"/>
      </w:tblPr>
      <w:tblGrid>
        <w:gridCol w:w="7920"/>
      </w:tblGrid>
      <w:tr>
        <w:tc>
          <w:tcPr/>
          <w:bookmarkStart w:id="50" w:name="fig-007"/>
          <w:p>
            <w:pPr>
              <w:pStyle w:val="Compact"/>
              <w:jc w:val="center"/>
            </w:pPr>
            <w:r>
              <w:drawing>
                <wp:inline>
                  <wp:extent cx="3733800" cy="2333625"/>
                  <wp:effectExtent b="0" l="0" r="0" t="0"/>
                  <wp:docPr descr=""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Задание 7</w:t>
            </w:r>
          </w:p>
          <w:bookmarkEnd w:id="50"/>
        </w:tc>
      </w:tr>
    </w:tbl>
    <w:p>
      <w:pPr>
        <w:pStyle w:val="BodyText"/>
      </w:pPr>
      <w:r>
        <w:t xml:space="preserve">В случае доступа к серверу, соленые пароли уже не помогут. (рис.8)</w:t>
      </w:r>
    </w:p>
    <w:tbl>
      <w:tblPr>
        <w:tblStyle w:val="Table"/>
        <w:tblW w:type="pct" w:w="5000"/>
        <w:tblLayout w:type="fixed"/>
        <w:tblLook w:firstRow="0" w:lastRow="0" w:firstColumn="0" w:lastColumn="0" w:noHBand="0" w:noVBand="0" w:val="0000"/>
      </w:tblPr>
      <w:tblGrid>
        <w:gridCol w:w="7920"/>
      </w:tblGrid>
      <w:tr>
        <w:tc>
          <w:tcPr/>
          <w:bookmarkStart w:id="54" w:name="fig-008"/>
          <w:p>
            <w:pPr>
              <w:pStyle w:val="Compact"/>
              <w:jc w:val="center"/>
            </w:pPr>
            <w:r>
              <w:drawing>
                <wp:inline>
                  <wp:extent cx="3733800" cy="2333625"/>
                  <wp:effectExtent b="0" l="0" r="0" t="0"/>
                  <wp:docPr descr="" title="" id="52" name="Picture"/>
                  <a:graphic>
                    <a:graphicData uri="http://schemas.openxmlformats.org/drawingml/2006/picture">
                      <pic:pic>
                        <pic:nvPicPr>
                          <pic:cNvPr descr="image/8.png" id="53" name="Picture"/>
                          <pic:cNvPicPr>
                            <a:picLocks noChangeArrowheads="1" noChangeAspect="1"/>
                          </pic:cNvPicPr>
                        </pic:nvPicPr>
                        <pic:blipFill>
                          <a:blip r:embed="rId51"/>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Задание 8</w:t>
            </w:r>
          </w:p>
          <w:bookmarkEnd w:id="54"/>
        </w:tc>
      </w:tr>
    </w:tbl>
    <w:p>
      <w:pPr>
        <w:pStyle w:val="BodyText"/>
      </w:pPr>
      <w:r>
        <w:t xml:space="preserve">Все указанные меры надежно защищают от утечек данных. (рис.9)</w:t>
      </w:r>
    </w:p>
    <w:tbl>
      <w:tblPr>
        <w:tblStyle w:val="Table"/>
        <w:tblW w:type="pct" w:w="5000"/>
        <w:tblLayout w:type="fixed"/>
        <w:tblLook w:firstRow="0" w:lastRow="0" w:firstColumn="0" w:lastColumn="0" w:noHBand="0" w:noVBand="0" w:val="0000"/>
      </w:tblPr>
      <w:tblGrid>
        <w:gridCol w:w="7920"/>
      </w:tblGrid>
      <w:tr>
        <w:tc>
          <w:tcPr/>
          <w:bookmarkStart w:id="58" w:name="fig-009"/>
          <w:p>
            <w:pPr>
              <w:pStyle w:val="Compact"/>
              <w:jc w:val="center"/>
            </w:pPr>
            <w:r>
              <w:drawing>
                <wp:inline>
                  <wp:extent cx="3733800" cy="2333625"/>
                  <wp:effectExtent b="0" l="0" r="0" t="0"/>
                  <wp:docPr descr="" title="" id="56" name="Picture"/>
                  <a:graphic>
                    <a:graphicData uri="http://schemas.openxmlformats.org/drawingml/2006/picture">
                      <pic:pic>
                        <pic:nvPicPr>
                          <pic:cNvPr descr="image/9.png" id="57" name="Picture"/>
                          <pic:cNvPicPr>
                            <a:picLocks noChangeArrowheads="1" noChangeAspect="1"/>
                          </pic:cNvPicPr>
                        </pic:nvPicPr>
                        <pic:blipFill>
                          <a:blip r:embed="rId55"/>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Задание 9</w:t>
            </w:r>
          </w:p>
          <w:bookmarkEnd w:id="58"/>
        </w:tc>
      </w:tr>
    </w:tbl>
    <w:p>
      <w:pPr>
        <w:pStyle w:val="BodyText"/>
      </w:pPr>
      <w:r>
        <w:t xml:space="preserve">Фишинговые ссылки часто сделаны на сервисах создания сайтов, например викс или тильда, также фишинговые ссылки очень похожи на ссылки известных сервисов, но имеют небольшие различия, которые легко не заметить. (рис. 10)</w:t>
      </w:r>
    </w:p>
    <w:tbl>
      <w:tblPr>
        <w:tblStyle w:val="Table"/>
        <w:tblW w:type="pct" w:w="5000"/>
        <w:tblLayout w:type="fixed"/>
        <w:tblLook w:firstRow="0" w:lastRow="0" w:firstColumn="0" w:lastColumn="0" w:noHBand="0" w:noVBand="0" w:val="0000"/>
      </w:tblPr>
      <w:tblGrid>
        <w:gridCol w:w="7920"/>
      </w:tblGrid>
      <w:tr>
        <w:tc>
          <w:tcPr/>
          <w:bookmarkStart w:id="62" w:name="fig-010"/>
          <w:p>
            <w:pPr>
              <w:pStyle w:val="Compact"/>
              <w:jc w:val="center"/>
            </w:pPr>
            <w:r>
              <w:drawing>
                <wp:inline>
                  <wp:extent cx="3733800" cy="2333625"/>
                  <wp:effectExtent b="0" l="0" r="0" t="0"/>
                  <wp:docPr descr="" title="" id="60" name="Picture"/>
                  <a:graphic>
                    <a:graphicData uri="http://schemas.openxmlformats.org/drawingml/2006/picture">
                      <pic:pic>
                        <pic:nvPicPr>
                          <pic:cNvPr descr="image/10.png" id="61" name="Picture"/>
                          <pic:cNvPicPr>
                            <a:picLocks noChangeArrowheads="1" noChangeAspect="1"/>
                          </pic:cNvPicPr>
                        </pic:nvPicPr>
                        <pic:blipFill>
                          <a:blip r:embed="rId59"/>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Задание 10</w:t>
            </w:r>
          </w:p>
          <w:bookmarkEnd w:id="62"/>
        </w:tc>
      </w:tr>
    </w:tbl>
    <w:p>
      <w:pPr>
        <w:pStyle w:val="BodyText"/>
      </w:pPr>
      <w:r>
        <w:t xml:space="preserve">Фишинговое письмо может прийти от кого угодно, например если их взломали. (рис. 11)</w:t>
      </w:r>
    </w:p>
    <w:tbl>
      <w:tblPr>
        <w:tblStyle w:val="Table"/>
        <w:tblW w:type="pct" w:w="5000"/>
        <w:tblLayout w:type="fixed"/>
        <w:tblLook w:firstRow="0" w:lastRow="0" w:firstColumn="0" w:lastColumn="0" w:noHBand="0" w:noVBand="0" w:val="0000"/>
      </w:tblPr>
      <w:tblGrid>
        <w:gridCol w:w="7920"/>
      </w:tblGrid>
      <w:tr>
        <w:tc>
          <w:tcPr/>
          <w:bookmarkStart w:id="66" w:name="fig-011"/>
          <w:p>
            <w:pPr>
              <w:pStyle w:val="Compact"/>
              <w:jc w:val="center"/>
            </w:pPr>
            <w:r>
              <w:drawing>
                <wp:inline>
                  <wp:extent cx="3733800" cy="2333625"/>
                  <wp:effectExtent b="0" l="0" r="0" t="0"/>
                  <wp:docPr descr="" title="" id="64" name="Picture"/>
                  <a:graphic>
                    <a:graphicData uri="http://schemas.openxmlformats.org/drawingml/2006/picture">
                      <pic:pic>
                        <pic:nvPicPr>
                          <pic:cNvPr descr="image/11.png" id="65" name="Picture"/>
                          <pic:cNvPicPr>
                            <a:picLocks noChangeArrowheads="1" noChangeAspect="1"/>
                          </pic:cNvPicPr>
                        </pic:nvPicPr>
                        <pic:blipFill>
                          <a:blip r:embed="rId63"/>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Задание 11</w:t>
            </w:r>
          </w:p>
          <w:bookmarkEnd w:id="66"/>
        </w:tc>
      </w:tr>
    </w:tbl>
    <w:p>
      <w:pPr>
        <w:pStyle w:val="BodyText"/>
      </w:pPr>
      <w:r>
        <w:t xml:space="preserve">Спуфинг - от английского слова spoof, что значит подменять. (рис 12)</w:t>
      </w:r>
    </w:p>
    <w:tbl>
      <w:tblPr>
        <w:tblStyle w:val="Table"/>
        <w:tblW w:type="pct" w:w="5000"/>
        <w:tblLayout w:type="fixed"/>
        <w:tblLook w:firstRow="0" w:lastRow="0" w:firstColumn="0" w:lastColumn="0" w:noHBand="0" w:noVBand="0" w:val="0000"/>
      </w:tblPr>
      <w:tblGrid>
        <w:gridCol w:w="7920"/>
      </w:tblGrid>
      <w:tr>
        <w:tc>
          <w:tcPr/>
          <w:bookmarkStart w:id="70" w:name="fig-012"/>
          <w:p>
            <w:pPr>
              <w:pStyle w:val="Compact"/>
              <w:jc w:val="center"/>
            </w:pPr>
            <w:r>
              <w:drawing>
                <wp:inline>
                  <wp:extent cx="3733800" cy="2333625"/>
                  <wp:effectExtent b="0" l="0" r="0" t="0"/>
                  <wp:docPr descr="" title="" id="68" name="Picture"/>
                  <a:graphic>
                    <a:graphicData uri="http://schemas.openxmlformats.org/drawingml/2006/picture">
                      <pic:pic>
                        <pic:nvPicPr>
                          <pic:cNvPr descr="image/12.png" id="69" name="Picture"/>
                          <pic:cNvPicPr>
                            <a:picLocks noChangeArrowheads="1" noChangeAspect="1"/>
                          </pic:cNvPicPr>
                        </pic:nvPicPr>
                        <pic:blipFill>
                          <a:blip r:embed="rId67"/>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Задание 12</w:t>
            </w:r>
          </w:p>
          <w:bookmarkEnd w:id="70"/>
        </w:tc>
      </w:tr>
    </w:tbl>
    <w:p>
      <w:pPr>
        <w:pStyle w:val="BodyText"/>
      </w:pPr>
      <w:r>
        <w:t xml:space="preserve">Троян маскируется под обычную программу. (рис. 13)</w:t>
      </w:r>
    </w:p>
    <w:tbl>
      <w:tblPr>
        <w:tblStyle w:val="Table"/>
        <w:tblW w:type="pct" w:w="5000"/>
        <w:tblLayout w:type="fixed"/>
        <w:tblLook w:firstRow="0" w:lastRow="0" w:firstColumn="0" w:lastColumn="0" w:noHBand="0" w:noVBand="0" w:val="0000"/>
      </w:tblPr>
      <w:tblGrid>
        <w:gridCol w:w="7920"/>
      </w:tblGrid>
      <w:tr>
        <w:tc>
          <w:tcPr/>
          <w:bookmarkStart w:id="74" w:name="fig-013"/>
          <w:p>
            <w:pPr>
              <w:pStyle w:val="Compact"/>
              <w:jc w:val="center"/>
            </w:pPr>
            <w:r>
              <w:drawing>
                <wp:inline>
                  <wp:extent cx="3733800" cy="2333625"/>
                  <wp:effectExtent b="0" l="0" r="0" t="0"/>
                  <wp:docPr descr="" title="" id="72" name="Picture"/>
                  <a:graphic>
                    <a:graphicData uri="http://schemas.openxmlformats.org/drawingml/2006/picture">
                      <pic:pic>
                        <pic:nvPicPr>
                          <pic:cNvPr descr="image/13.png" id="73" name="Picture"/>
                          <pic:cNvPicPr>
                            <a:picLocks noChangeArrowheads="1" noChangeAspect="1"/>
                          </pic:cNvPicPr>
                        </pic:nvPicPr>
                        <pic:blipFill>
                          <a:blip r:embed="rId71"/>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Задание 13</w:t>
            </w:r>
          </w:p>
          <w:bookmarkEnd w:id="74"/>
        </w:tc>
      </w:tr>
    </w:tbl>
    <w:p>
      <w:pPr>
        <w:pStyle w:val="BodyText"/>
      </w:pPr>
      <w:r>
        <w:t xml:space="preserve">Клюс шифрования в сигнале фомируется при первом сообщении от отправителя. (рис. 14)</w:t>
      </w:r>
    </w:p>
    <w:tbl>
      <w:tblPr>
        <w:tblStyle w:val="Table"/>
        <w:tblW w:type="pct" w:w="5000"/>
        <w:tblLayout w:type="fixed"/>
        <w:tblLook w:firstRow="0" w:lastRow="0" w:firstColumn="0" w:lastColumn="0" w:noHBand="0" w:noVBand="0" w:val="0000"/>
      </w:tblPr>
      <w:tblGrid>
        <w:gridCol w:w="7920"/>
      </w:tblGrid>
      <w:tr>
        <w:tc>
          <w:tcPr/>
          <w:bookmarkStart w:id="78" w:name="fig-014"/>
          <w:p>
            <w:pPr>
              <w:pStyle w:val="Compact"/>
              <w:jc w:val="center"/>
            </w:pPr>
            <w:r>
              <w:drawing>
                <wp:inline>
                  <wp:extent cx="3733800" cy="2333625"/>
                  <wp:effectExtent b="0" l="0" r="0" t="0"/>
                  <wp:docPr descr="" title="" id="76" name="Picture"/>
                  <a:graphic>
                    <a:graphicData uri="http://schemas.openxmlformats.org/drawingml/2006/picture">
                      <pic:pic>
                        <pic:nvPicPr>
                          <pic:cNvPr descr="image/14.png" id="77" name="Picture"/>
                          <pic:cNvPicPr>
                            <a:picLocks noChangeArrowheads="1" noChangeAspect="1"/>
                          </pic:cNvPicPr>
                        </pic:nvPicPr>
                        <pic:blipFill>
                          <a:blip r:embed="rId75"/>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Задание 14</w:t>
            </w:r>
          </w:p>
          <w:bookmarkEnd w:id="78"/>
        </w:tc>
      </w:tr>
    </w:tbl>
    <w:p>
      <w:pPr>
        <w:pStyle w:val="BodyText"/>
      </w:pPr>
      <w:r>
        <w:t xml:space="preserve">Суть сквозного шифрования в том,что сообщения передаются по узлам связи (серверам) в зашифрованном виде . (рис. 15)</w:t>
      </w:r>
    </w:p>
    <w:tbl>
      <w:tblPr>
        <w:tblStyle w:val="Table"/>
        <w:tblW w:type="pct" w:w="5000"/>
        <w:tblLayout w:type="fixed"/>
        <w:tblLook w:firstRow="0" w:lastRow="0" w:firstColumn="0" w:lastColumn="0" w:noHBand="0" w:noVBand="0" w:val="0000"/>
      </w:tblPr>
      <w:tblGrid>
        <w:gridCol w:w="7920"/>
      </w:tblGrid>
      <w:tr>
        <w:tc>
          <w:tcPr/>
          <w:bookmarkStart w:id="82" w:name="fig-015"/>
          <w:p>
            <w:pPr>
              <w:pStyle w:val="Compact"/>
              <w:jc w:val="center"/>
            </w:pPr>
            <w:r>
              <w:drawing>
                <wp:inline>
                  <wp:extent cx="3733800" cy="2333625"/>
                  <wp:effectExtent b="0" l="0" r="0" t="0"/>
                  <wp:docPr descr="" title="" id="80" name="Picture"/>
                  <a:graphic>
                    <a:graphicData uri="http://schemas.openxmlformats.org/drawingml/2006/picture">
                      <pic:pic>
                        <pic:nvPicPr>
                          <pic:cNvPr descr="image/15.png" id="81" name="Picture"/>
                          <pic:cNvPicPr>
                            <a:picLocks noChangeArrowheads="1" noChangeAspect="1"/>
                          </pic:cNvPicPr>
                        </pic:nvPicPr>
                        <pic:blipFill>
                          <a:blip r:embed="rId79"/>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15: Задание 15</w:t>
            </w:r>
          </w:p>
          <w:bookmarkEnd w:id="82"/>
        </w:tc>
      </w:tr>
    </w:tbl>
    <w:bookmarkEnd w:id="83"/>
    <w:bookmarkStart w:id="84" w:name="выводы"/>
    <w:p>
      <w:pPr>
        <w:pStyle w:val="Heading1"/>
      </w:pPr>
      <w:r>
        <w:t xml:space="preserve">5. Выводы</w:t>
      </w:r>
    </w:p>
    <w:p>
      <w:pPr>
        <w:pStyle w:val="FirstParagraph"/>
      </w:pPr>
      <w:r>
        <w:t xml:space="preserve">Я выполнила 2 этап внешнего курса и приобрела знания о том, как приавильно защищать ПК/телефон, узнала о вирусах и фишинге, а так же научилась составлять надежные пароли.</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о прохождении внешнего курса</dc:title>
  <dc:creator>Симонова Полина Игоревна</dc:creator>
  <dc:language>ru-RU</dc:language>
  <cp:keywords/>
  <dcterms:created xsi:type="dcterms:W3CDTF">2026-02-14T19:25:59Z</dcterms:created>
  <dcterms:modified xsi:type="dcterms:W3CDTF">2026-02-14T19:25:59Z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2 этап</vt:lpwstr>
  </property>
  <property fmtid="{D5CDD505-2E9C-101B-9397-08002B2CF9AE}" pid="16" name="toc-title">
    <vt:lpwstr>Содержание</vt:lpwstr>
  </property>
</Properties>
</file>