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Доклад на тему: Идентификация и аутентификация,управление доступом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Симонова Полина Игоревна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ключевые методы идентификации, аутентификации и методы управения доступом в современных системах информационной безопасности. Проанализировать и сравнить их механизмы, модели и современные стандарты.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Изучить механизмы аутентификации и идентификации, методы управления доступом, описать их теоретические основы;</w:t>
      </w:r>
    </w:p>
    <w:p>
      <w:pPr>
        <w:numPr>
          <w:ilvl w:val="0"/>
          <w:numId w:val="1001"/>
        </w:numPr>
      </w:pPr>
      <w:r>
        <w:t xml:space="preserve">Рассмотреть способы их применения в современных компьютерных системах, выявить проблемы и риски;</w:t>
      </w:r>
    </w:p>
    <w:p>
      <w:pPr>
        <w:numPr>
          <w:ilvl w:val="0"/>
          <w:numId w:val="1001"/>
        </w:numPr>
      </w:pPr>
      <w:r>
        <w:t xml:space="preserve">Сравнить рассмотренные механизмы и методы между собой.</w:t>
      </w:r>
    </w:p>
    <w:bookmarkEnd w:id="21"/>
    <w:bookmarkStart w:id="26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Идентификация - это процесс, при котором субъект предоставляет системе уникальный идентификатор (например, логин, email, биометрию, номер телефона, id-токен), чтобы система могла его опознать. Аутентификация (подтверждение личности) следует за идентификацией и подтверждает подлинность субъекта с помощью факторов вроде пароля, пин-кода или sms-сообщения. Управление доступом определяет, какие операции разрешены аутентифицированным пользователям, обеспечивает принцип минимальных привилегий.</w:t>
      </w:r>
    </w:p>
    <w:bookmarkStart w:id="25" w:name="fig:001"/>
    <w:p>
      <w:pPr>
        <w:pStyle w:val="CaptionedFigure"/>
      </w:pPr>
      <w:r>
        <w:drawing>
          <wp:inline>
            <wp:extent cx="5334000" cy="2442754"/>
            <wp:effectExtent b="0" l="0" r="0" t="0"/>
            <wp:docPr descr="Разница между идентификацией, аутентификацией и управлением доступом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27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Разница между идентификацией, аутентификацией и управлением доступом</w:t>
      </w:r>
    </w:p>
    <w:bookmarkEnd w:id="25"/>
    <w:bookmarkEnd w:id="26"/>
    <w:bookmarkStart w:id="31" w:name="Xd3926315182ed9e5e405cbe718b3f75d1b34e1d"/>
    <w:p>
      <w:pPr>
        <w:pStyle w:val="Heading1"/>
      </w:pPr>
      <w:r>
        <w:t xml:space="preserve">4. Методы и механизмы идентификации и аутентификации</w:t>
      </w:r>
    </w:p>
    <w:p>
      <w:pPr>
        <w:pStyle w:val="FirstParagraph"/>
      </w:pPr>
      <w:r>
        <w:t xml:space="preserve">Методы идентификации включают использование уникальных идентификаторов: логины, удостоверения, смарт-карты или биометрические данные (отпечатки пальцев, распознавание лица). Идентификация работает по принципу сопоставления предоставленного идентификатора с базой данных системы: пользователь вводит логин или предъявляет токен, система ищет его в каталоге (LDAP, Active Directory) и возвращает профиль с ролями. Механизм включает хэширование идентификаторов для защиты и проверку уникальности, чтобы избежать коллизий; в распределенных системах (OAuth) используется discovery-эндпоинт для поиска метаданных.</w:t>
      </w:r>
    </w:p>
    <w:p>
      <w:pPr>
        <w:pStyle w:val="BodyText"/>
      </w:pPr>
      <w:r>
        <w:t xml:space="preserve">Аутентификация классифицируется по факторам: «что знаешь» (пароль), «что имеешь» (токен), «кто ты» (биометрия), «где находишься» (геолокация).Аутентификация реализуется через вызовы протоколов: в парольной схеме пароль хэшируется (bcrypt, Argon2) и сравнивается с хранимым хэшем; при неудаче — блокировка аккаунта. Двухфакторная (2FA) добавляет второй этап — TOTP (HMAC-based one-time password по RFC 6238) или push-уведомление. Биометрия сканирует шаблон (минует изображение), сравнивает с хранимым вектором (minutiae для отпечатков) с порогом FAR/FRR &lt;0.001%.</w:t>
      </w:r>
    </w:p>
    <w:p>
      <w:pPr>
        <w:pStyle w:val="BodyText"/>
      </w:pPr>
      <w:r>
        <w:t xml:space="preserve">Наиболее надежны многофакторные схемы (MFA), где сочетаются 2+ фактора, как рекомендует NIST в SP 800-63B. Биометрия устойчива к краже, но уязвима к подделкам (спуфинг), поэтому часто комбинируется с криптографией.</w:t>
      </w:r>
    </w:p>
    <w:bookmarkStart w:id="30" w:name="fig:002"/>
    <w:p>
      <w:pPr>
        <w:pStyle w:val="CaptionedFigure"/>
      </w:pPr>
      <w:r>
        <w:drawing>
          <wp:inline>
            <wp:extent cx="5334000" cy="2983706"/>
            <wp:effectExtent b="0" l="0" r="0" t="0"/>
            <wp:docPr descr="Пример работы двухфакторной аутентификации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37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Пример работы двухфакторной аутентификации</w:t>
      </w:r>
    </w:p>
    <w:bookmarkEnd w:id="30"/>
    <w:bookmarkEnd w:id="31"/>
    <w:bookmarkStart w:id="32" w:name="управление-доступом-сущность-и-задачи"/>
    <w:p>
      <w:pPr>
        <w:pStyle w:val="Heading1"/>
      </w:pPr>
      <w:r>
        <w:t xml:space="preserve">5. Управление доступом: сущность и задачи</w:t>
      </w:r>
    </w:p>
    <w:p>
      <w:pPr>
        <w:pStyle w:val="FirstParagraph"/>
      </w:pPr>
      <w:r>
        <w:t xml:space="preserve">Управление доступом — это процесс, который определяет, какие действия разрешены пользователю после успешной идентификации и аутентификации. Иначе говоря, система должна не только узнать пользователя, но и решить, что именно ему можно делать с ресурсами.</w:t>
      </w:r>
    </w:p>
    <w:p>
      <w:pPr>
        <w:pStyle w:val="BodyText"/>
      </w:pPr>
      <w:r>
        <w:t xml:space="preserve">В задачи управления доступом входят назначение прав, контроль их использования, ограничение несанкционированных действий, журналирование и аудит. Это особенно важно в корпоративных сетях, государственных системах и облачных платформах, где количество пользователей и ресурсов постоянно растет.</w:t>
      </w:r>
    </w:p>
    <w:bookmarkEnd w:id="32"/>
    <w:bookmarkStart w:id="33" w:name="основные-модели-управления-доступом"/>
    <w:p>
      <w:pPr>
        <w:pStyle w:val="Heading1"/>
      </w:pPr>
      <w:r>
        <w:t xml:space="preserve">6. Основные модели управления доступом</w:t>
      </w:r>
    </w:p>
    <w:p>
      <w:pPr>
        <w:pStyle w:val="FirstParagraph"/>
      </w:pPr>
      <w:r>
        <w:t xml:space="preserve">Существует несколько основных моделей управления доступом.</w:t>
      </w:r>
    </w:p>
    <w:p>
      <w:pPr>
        <w:numPr>
          <w:ilvl w:val="0"/>
          <w:numId w:val="1002"/>
        </w:numPr>
      </w:pPr>
      <w:r>
        <w:t xml:space="preserve">Дискреционное управление доступом, или DAC, предполагает, что права назначает владелец ресурса. Эта модель гибкая, но при большом числе пользователей может стать небезопасной.</w:t>
      </w:r>
    </w:p>
    <w:p>
      <w:pPr>
        <w:numPr>
          <w:ilvl w:val="0"/>
          <w:numId w:val="1002"/>
        </w:numPr>
      </w:pPr>
      <w:r>
        <w:t xml:space="preserve">Мандатное управление доступом, или MAC, строится на строгих правилах и метках безопасности. Оно применяется там, где особенно важны конфиденциальность и жесткий контроль, например в государственных или военных системах.</w:t>
      </w:r>
    </w:p>
    <w:p>
      <w:pPr>
        <w:numPr>
          <w:ilvl w:val="0"/>
          <w:numId w:val="1002"/>
        </w:numPr>
      </w:pPr>
      <w:r>
        <w:t xml:space="preserve">Ролевая модель, или RBAC, назначает права не каждому пользователю отдельно, а роли, которую он выполняет в организации. Это удобно в больших компаниях, потому что упрощает администрирование.</w:t>
      </w:r>
    </w:p>
    <w:p>
      <w:pPr>
        <w:numPr>
          <w:ilvl w:val="0"/>
          <w:numId w:val="1002"/>
        </w:numPr>
      </w:pPr>
      <w:r>
        <w:t xml:space="preserve">В последние годы активно развивается модель ABAC, где решение о доступе принимается на основе атрибутов пользователя, устройства, времени, местоположения и других условий. Также исследуются гибридные модели RBAC/ABAC, которые сочетают удобство ролей и гибкость атрибутов.</w:t>
      </w:r>
    </w:p>
    <w:p>
      <w:pPr>
        <w:pStyle w:val="TableCaption"/>
      </w:pPr>
      <w:r>
        <w:t xml:space="preserve">Сравнение моделей управления доступом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Сравнение моделей управления доступом"/>
      </w:tblPr>
      <w:tblGrid>
        <w:gridCol w:w="843"/>
        <w:gridCol w:w="3051"/>
        <w:gridCol w:w="1882"/>
        <w:gridCol w:w="21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Пример использования</w:t>
            </w:r>
          </w:p>
        </w:tc>
        <w:tc>
          <w:tcPr/>
          <w:p>
            <w:pPr>
              <w:pStyle w:val="Compact"/>
            </w:pPr>
            <w:r>
              <w:t xml:space="preserve">Особенности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DAC</w:t>
            </w:r>
          </w:p>
        </w:tc>
        <w:tc>
          <w:tcPr/>
          <w:p>
            <w:pPr>
              <w:pStyle w:val="Compact"/>
            </w:pPr>
            <w:r>
              <w:t xml:space="preserve">Владелец сам назначает доступ</w:t>
            </w:r>
          </w:p>
        </w:tc>
        <w:tc>
          <w:tcPr/>
          <w:p>
            <w:pPr>
              <w:pStyle w:val="Compact"/>
            </w:pPr>
            <w:r>
              <w:t xml:space="preserve">Файлы в ОС</w:t>
            </w:r>
          </w:p>
        </w:tc>
        <w:tc>
          <w:tcPr/>
          <w:p>
            <w:pPr>
              <w:pStyle w:val="Compact"/>
            </w:pPr>
            <w:r>
              <w:t xml:space="preserve">Гибкость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</w:t>
            </w:r>
          </w:p>
        </w:tc>
        <w:tc>
          <w:tcPr/>
          <w:p>
            <w:pPr>
              <w:pStyle w:val="Compact"/>
            </w:pPr>
            <w:r>
              <w:t xml:space="preserve">Доступ по строгим правилам</w:t>
            </w:r>
          </w:p>
        </w:tc>
        <w:tc>
          <w:tcPr/>
          <w:p>
            <w:pPr>
              <w:pStyle w:val="Compact"/>
            </w:pPr>
            <w:r>
              <w:t xml:space="preserve">Военные системы</w:t>
            </w:r>
          </w:p>
        </w:tc>
        <w:tc>
          <w:tcPr/>
          <w:p>
            <w:pPr>
              <w:pStyle w:val="Compact"/>
            </w:pPr>
            <w:r>
              <w:t xml:space="preserve">Высокая безопасность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</w:t>
            </w:r>
          </w:p>
        </w:tc>
        <w:tc>
          <w:tcPr/>
          <w:p>
            <w:pPr>
              <w:pStyle w:val="Compact"/>
            </w:pPr>
            <w:r>
              <w:t xml:space="preserve">Доступ на основе ролей</w:t>
            </w:r>
          </w:p>
        </w:tc>
        <w:tc>
          <w:tcPr/>
          <w:p>
            <w:pPr>
              <w:pStyle w:val="Compact"/>
            </w:pPr>
            <w:r>
              <w:t xml:space="preserve">Корпоративные системы</w:t>
            </w:r>
          </w:p>
        </w:tc>
        <w:tc>
          <w:tcPr/>
          <w:p>
            <w:pPr>
              <w:pStyle w:val="Compact"/>
            </w:pPr>
            <w:r>
              <w:t xml:space="preserve">Удобство управления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ABAC</w:t>
            </w:r>
          </w:p>
        </w:tc>
        <w:tc>
          <w:tcPr/>
          <w:p>
            <w:pPr>
              <w:pStyle w:val="Compact"/>
            </w:pPr>
            <w:r>
              <w:t xml:space="preserve">Доступ по атрибутам (время, место и т.д.)</w:t>
            </w:r>
          </w:p>
        </w:tc>
        <w:tc>
          <w:tcPr/>
          <w:p>
            <w:pPr>
              <w:pStyle w:val="Compact"/>
            </w:pPr>
            <w:r>
              <w:t xml:space="preserve">Современные системы</w:t>
            </w:r>
          </w:p>
        </w:tc>
        <w:tc>
          <w:tcPr/>
          <w:p>
            <w:pPr>
              <w:pStyle w:val="Compact"/>
            </w:pPr>
            <w:r>
              <w:t xml:space="preserve">Гибкость и сложность</w:t>
            </w:r>
          </w:p>
        </w:tc>
      </w:tr>
    </w:tbl>
    <w:bookmarkEnd w:id="33"/>
    <w:bookmarkStart w:id="34" w:name="современные-подходы-и-стандарты"/>
    <w:p>
      <w:pPr>
        <w:pStyle w:val="Heading1"/>
      </w:pPr>
      <w:r>
        <w:t xml:space="preserve">7. Современные подходы и стандарты</w:t>
      </w:r>
    </w:p>
    <w:p>
      <w:pPr>
        <w:pStyle w:val="FirstParagraph"/>
      </w:pPr>
      <w:r>
        <w:t xml:space="preserve">Современные IAM-системы централизуют управление с федеративной аутентификацией (OAuth 2.0, OpenID Connect, SAML) для единого входа (SSO). Модель Zero Trust (NIST SP 800-207) проверяет каждый запрос по контексту (устройство, поведение), актуальна для облаков вроде AWS IAM и Azure AD.</w:t>
      </w:r>
    </w:p>
    <w:p>
      <w:pPr>
        <w:pStyle w:val="BodyText"/>
      </w:pPr>
      <w:r>
        <w:t xml:space="preserve">NIST SP 800-63 определяет уровни IAL (идентификация), AAL (аутентификация, MFA/FIDO2) и FAL (федерация), снижая риски фишинга. В IoT — JWT-токены, CoAP/DTLS, блокчейн-идентичность.</w:t>
      </w:r>
    </w:p>
    <w:p>
      <w:pPr>
        <w:pStyle w:val="BodyText"/>
      </w:pPr>
      <w:r>
        <w:t xml:space="preserve">ISO 27001:2022 (Annex A.5/A.8) требует политики доступа, MFA, аудита и joiner-mover-leaver; дополнено GDPR и ISO 27018. В России ФСТЭК/ФСБ — ГОСТ-протоколы (GOST R 34.10) для ГИС.</w:t>
      </w:r>
    </w:p>
    <w:bookmarkEnd w:id="34"/>
    <w:bookmarkStart w:id="35" w:name="проблемы-и-риски"/>
    <w:p>
      <w:pPr>
        <w:pStyle w:val="Heading1"/>
      </w:pPr>
      <w:r>
        <w:t xml:space="preserve">8. Проблемы и риски</w:t>
      </w:r>
    </w:p>
    <w:p>
      <w:pPr>
        <w:pStyle w:val="FirstParagraph"/>
      </w:pPr>
      <w:r>
        <w:t xml:space="preserve">Основные угрозы в этой области связаны с кражей паролей, подделкой учетных данных, перехватом сеансов, ошибками в настройке прав и чрезмерными привилегиями. Особенно опасны ситуации, когда учетная запись давно не используется, но все еще имеет высокие права доступа.</w:t>
      </w:r>
      <w:r>
        <w:t xml:space="preserve"> </w:t>
      </w:r>
      <w:r>
        <w:t xml:space="preserve">Еще одна проблема — человеческий фактор: пользователи часто выбирают слабые пароли, повторно используют их на разных сервисах или передают другим лицам. Поэтому эффективная защита требует не только технических средств, но и организационных мер: политики паролей, обучения персонала, аудита и регулярного пересмотра прав.</w:t>
      </w:r>
    </w:p>
    <w:bookmarkEnd w:id="35"/>
    <w:bookmarkStart w:id="36" w:name="заключение"/>
    <w:p>
      <w:pPr>
        <w:pStyle w:val="Heading1"/>
      </w:pPr>
      <w:r>
        <w:t xml:space="preserve">9. Заключение</w:t>
      </w:r>
    </w:p>
    <w:p>
      <w:pPr>
        <w:pStyle w:val="FirstParagraph"/>
      </w:pPr>
      <w:r>
        <w:t xml:space="preserve">Идентификация, аутентификация и управление доступом — это взаимосвязанные элементы единой системы защиты информации. Идентификация отвечает за распознавание субъекта, аутентификация подтверждает его личность, а управление доступом определяет пределы его полномочий.</w:t>
      </w:r>
    </w:p>
    <w:p>
      <w:pPr>
        <w:pStyle w:val="BodyText"/>
      </w:pPr>
      <w:r>
        <w:t xml:space="preserve">Наиболее эффективными сегодня считаются многофакторная аутентификация, централизованное IAM-управление и гибкие модели доступа. Именно сочетание технических, организационных и нормативных мер позволяет обеспечить надежную защиту информационных ресурсов.</w:t>
      </w:r>
    </w:p>
    <w:bookmarkEnd w:id="36"/>
    <w:bookmarkStart w:id="37" w:name="выводы"/>
    <w:p>
      <w:pPr>
        <w:pStyle w:val="Heading1"/>
      </w:pPr>
      <w:r>
        <w:t xml:space="preserve">10. Выводы</w:t>
      </w:r>
    </w:p>
    <w:p>
      <w:pPr>
        <w:pStyle w:val="FirstParagraph"/>
      </w:pPr>
      <w:r>
        <w:t xml:space="preserve">Я изучила механизмы, модели и стандарты для идентификации и аутентификации, рассмотрела методы управления доступом, а также выявила возможные проблемы и риски.</w:t>
      </w:r>
    </w:p>
    <w:bookmarkEnd w:id="37"/>
    <w:bookmarkStart w:id="38" w:name="список-литературы"/>
    <w:p>
      <w:pPr>
        <w:pStyle w:val="Heading1"/>
      </w:pPr>
      <w:r>
        <w:t xml:space="preserve">11. Список литературы</w:t>
      </w:r>
    </w:p>
    <w:p>
      <w:pPr>
        <w:numPr>
          <w:ilvl w:val="0"/>
          <w:numId w:val="1003"/>
        </w:numPr>
      </w:pPr>
      <w:r>
        <w:t xml:space="preserve">Волхонский В. В. Системы контроля и управления доступом : учеб. пособие / В. В. Волхонский. – Санкт-Петербург : [б. и.], 2015. – .</w:t>
      </w:r>
    </w:p>
    <w:p>
      <w:pPr>
        <w:numPr>
          <w:ilvl w:val="0"/>
          <w:numId w:val="1003"/>
        </w:numPr>
      </w:pPr>
      <w:r>
        <w:t xml:space="preserve">Таненбаум Э. Современные операционные системы / Э. Таненбаум.</w:t>
      </w:r>
    </w:p>
    <w:p>
      <w:pPr>
        <w:numPr>
          <w:ilvl w:val="0"/>
          <w:numId w:val="1003"/>
        </w:numPr>
      </w:pPr>
      <w:r>
        <w:t xml:space="preserve">Идентификация, аутентификация, авторизация: чем они различаются? [Электронный ресурс] // Яндекс Практикум. – URL: https://practicum.yandex.ru/blog/identifikatsiya-autentifikatsiya-avtorizatsiya-chem-oni-razlichayutsya/ (дата обращения: 01.05.2026). –.</w:t>
      </w:r>
    </w:p>
    <w:p>
      <w:pPr>
        <w:numPr>
          <w:ilvl w:val="0"/>
          <w:numId w:val="1003"/>
        </w:numPr>
      </w:pPr>
      <w:r>
        <w:t xml:space="preserve">Идентификация, аутентификация и авторизация: в чем разница? [Электронный ресурс] // Habr. – URL: https://habr.com/ru/companies/otus/articles/726846/ (дата обращения: 01.05.2026). –.</w:t>
      </w:r>
    </w:p>
    <w:p>
      <w:pPr>
        <w:numPr>
          <w:ilvl w:val="0"/>
          <w:numId w:val="1003"/>
        </w:numPr>
      </w:pPr>
      <w:r>
        <w:t xml:space="preserve">Digital Identity Guidelines: Authentication and Lifecycle Management : NIST Special Publication 800-63B / National Institute of Standards and Technology (NIST). – Gaithersburg, MD : U.S. Department of Commerce, 2020. – URL: https://cyberreadinessinstitute.org/wp-content/uploads/NIST-Special-Publication-800-63B.pdf (дата обращения: 01.05.2026).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Доклад на тему: Идентификация и аутентификация,управление доступом</dc:title>
  <dc:creator>Симонова Полина Игоревна</dc:creator>
  <dc:language>ru-RU</dc:language>
  <cp:keywords/>
  <dcterms:created xsi:type="dcterms:W3CDTF">2026-05-01T14:58:10Z</dcterms:created>
  <dcterms:modified xsi:type="dcterms:W3CDTF">2026-05-01T14:58:10Z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информационной безопасности</vt:lpwstr>
  </property>
  <property fmtid="{D5CDD505-2E9C-101B-9397-08002B2CF9AE}" pid="16" name="toc-title">
    <vt:lpwstr>Содержание</vt:lpwstr>
  </property>
</Properties>
</file>