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о прохождении внешнего курса</w:t>
      </w:r>
    </w:p>
    <w:p>
      <w:pPr>
        <w:pStyle w:val="Subtitle"/>
      </w:pPr>
      <w:r>
        <w:t xml:space="preserve">3 этап</w:t>
      </w:r>
    </w:p>
    <w:p>
      <w:pPr>
        <w:pStyle w:val="Author"/>
      </w:pPr>
      <w:r>
        <w:t xml:space="preserve">Симонова Полина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Пройти внешний курс</w:t>
      </w:r>
      <w:r>
        <w:t xml:space="preserve"> </w:t>
      </w:r>
      <w:r>
        <w:t xml:space="preserve">“Основы кибербезопасности”</w:t>
      </w:r>
      <w:r>
        <w:t xml:space="preserve"> </w:t>
      </w:r>
      <w:r>
        <w:t xml:space="preserve">на платформе Stepik. Получить начальные знания в сфере кибербезопасности.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Пройти все обучающие материалы, и на их основании выполнить задания и тесты.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Криптография — это наука о методах защиты информации (конфиденциальности, целостности, аутентификации) путем её преобразования в недоступный для понимания вид. Она обеспечивает шифрование данных, электронную подпись и подтверждение авторства, используя математические алгоритмы и секретные ключи.</w:t>
      </w:r>
    </w:p>
    <w:bookmarkEnd w:id="22"/>
    <w:bookmarkStart w:id="8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Из определения асимметричного шифрования с двумя ключами. (рис. 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Задание 1</w:t>
            </w:r>
          </w:p>
          <w:bookmarkEnd w:id="26"/>
        </w:tc>
      </w:tr>
    </w:tbl>
    <w:p>
      <w:pPr>
        <w:pStyle w:val="BodyText"/>
      </w:pPr>
      <w:r>
        <w:t xml:space="preserve">Подходят все ответы кром еобеспечния конфиденциальности. (рис.2)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Задание 2</w:t>
            </w:r>
          </w:p>
          <w:bookmarkEnd w:id="30"/>
        </w:tc>
      </w:tr>
    </w:tbl>
    <w:p>
      <w:pPr>
        <w:pStyle w:val="BodyText"/>
      </w:pPr>
      <w:r>
        <w:t xml:space="preserve">Я отметила все подходящие варианты.(рис.3)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Задание 3</w:t>
            </w:r>
          </w:p>
          <w:bookmarkEnd w:id="34"/>
        </w:tc>
      </w:tr>
    </w:tbl>
    <w:p>
      <w:pPr>
        <w:pStyle w:val="BodyText"/>
      </w:pPr>
      <w:r>
        <w:t xml:space="preserve">Отметила верный вариант. (рис.4)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Задание 4</w:t>
            </w:r>
          </w:p>
          <w:bookmarkEnd w:id="38"/>
        </w:tc>
      </w:tr>
    </w:tbl>
    <w:p>
      <w:pPr>
        <w:pStyle w:val="BodyText"/>
      </w:pPr>
      <w:r>
        <w:t xml:space="preserve">Я выбрала вариант, который подходит по определению. (рис. 5)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Задание 5</w:t>
            </w:r>
          </w:p>
          <w:bookmarkEnd w:id="42"/>
        </w:tc>
      </w:tr>
    </w:tbl>
    <w:p>
      <w:pPr>
        <w:pStyle w:val="BodyText"/>
      </w:pPr>
      <w:r>
        <w:t xml:space="preserve">Протокол ЭЦП относится к протоколам с публичным ключом. (рис.6)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Задание 6</w:t>
            </w:r>
          </w:p>
          <w:bookmarkEnd w:id="46"/>
        </w:tc>
      </w:tr>
    </w:tbl>
    <w:p>
      <w:pPr>
        <w:pStyle w:val="BodyText"/>
      </w:pPr>
      <w:r>
        <w:t xml:space="preserve">Алгоритм верификации электронной подписи состоит в следующем. На первом этапе получатель сообщения строит собственный вариант хэш-функции подписанного документа. На втором этапе происходит расшифровка хэш-функции, содержащейся в сообщении с помощью открытого ключа отправителя. На третьем этапе производится сравнение двух хэш- функций. Их совпадение гарантирует одновременно подлинность содержимого документа и его авторства (рис. 7)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Задание 7</w:t>
            </w:r>
          </w:p>
          <w:bookmarkEnd w:id="50"/>
        </w:tc>
      </w:tr>
    </w:tbl>
    <w:p>
      <w:pPr>
        <w:pStyle w:val="BodyText"/>
      </w:pPr>
      <w:r>
        <w:t xml:space="preserve">Электронная подпись обеспечивает все указанное, кроме конфиденциальности. (рис.8)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Задание 8</w:t>
            </w:r>
          </w:p>
          <w:bookmarkEnd w:id="54"/>
        </w:tc>
      </w:tr>
    </w:tbl>
    <w:p>
      <w:pPr>
        <w:pStyle w:val="BodyText"/>
      </w:pPr>
      <w:r>
        <w:t xml:space="preserve">Для отправки налоговой отчетности в ФНС используется усиленная квалифицированная электронная подпись. (рис.9)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Задание 9</w:t>
            </w:r>
          </w:p>
          <w:bookmarkEnd w:id="58"/>
        </w:tc>
      </w:tr>
    </w:tbl>
    <w:p>
      <w:pPr>
        <w:pStyle w:val="BodyText"/>
      </w:pPr>
      <w:r>
        <w:t xml:space="preserve">Верный ответ укзаан на изображении. (рис. 10)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Задание 10</w:t>
            </w:r>
          </w:p>
          <w:bookmarkEnd w:id="62"/>
        </w:tc>
      </w:tr>
    </w:tbl>
    <w:p>
      <w:pPr>
        <w:pStyle w:val="BodyText"/>
      </w:pPr>
      <w:r>
        <w:t xml:space="preserve">Известные платежные системы - МИР и мастеркард. (рис. 11)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Задание 11</w:t>
            </w:r>
          </w:p>
          <w:bookmarkEnd w:id="66"/>
        </w:tc>
      </w:tr>
    </w:tbl>
    <w:p>
      <w:pPr>
        <w:pStyle w:val="BodyText"/>
      </w:pPr>
      <w:r>
        <w:t xml:space="preserve">Верный ответ указан на изображении. (рис 12)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Задание 12</w:t>
            </w:r>
          </w:p>
          <w:bookmarkEnd w:id="70"/>
        </w:tc>
      </w:tr>
    </w:tbl>
    <w:p>
      <w:pPr>
        <w:pStyle w:val="BodyText"/>
      </w:pPr>
      <w:r>
        <w:t xml:space="preserve">При онлайн платежах используется многофакторная аутентификация. (рис. 13)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Задание 13</w:t>
            </w:r>
          </w:p>
          <w:bookmarkEnd w:id="74"/>
        </w:tc>
      </w:tr>
    </w:tbl>
    <w:p>
      <w:pPr>
        <w:pStyle w:val="BodyText"/>
      </w:pPr>
      <w:r>
        <w:t xml:space="preserve">Верный ответ указан на изображении. (рис. 14)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Задание 14</w:t>
            </w:r>
          </w:p>
          <w:bookmarkEnd w:id="78"/>
        </w:tc>
      </w:tr>
    </w:tbl>
    <w:p>
      <w:pPr>
        <w:pStyle w:val="BodyText"/>
      </w:pPr>
      <w:r>
        <w:t xml:space="preserve">Верный ответ указан на изображении. (рис. 15)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Задание 15</w:t>
            </w:r>
          </w:p>
          <w:bookmarkEnd w:id="82"/>
        </w:tc>
      </w:tr>
    </w:tbl>
    <w:p>
      <w:pPr>
        <w:pStyle w:val="BodyText"/>
      </w:pPr>
      <w:r>
        <w:t xml:space="preserve">Верный ответ указан на изображении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Задание 16</w:t>
            </w:r>
          </w:p>
          <w:bookmarkEnd w:id="86"/>
        </w:tc>
      </w:tr>
    </w:tbl>
    <w:bookmarkEnd w:id="87"/>
    <w:bookmarkStart w:id="8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прошла третий этап внешнего курса, узнала о блокчейне, цифровой подписи и о электронных платежах.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прохождении внешнего курса</dc:title>
  <dc:creator>Симонова Полина Игоревна</dc:creator>
  <dc:language>ru-RU</dc:language>
  <cp:keywords/>
  <dcterms:created xsi:type="dcterms:W3CDTF">2026-02-14T20:04:31Z</dcterms:created>
  <dcterms:modified xsi:type="dcterms:W3CDTF">2026-02-14T20:04:31Z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3 этап</vt:lpwstr>
  </property>
  <property fmtid="{D5CDD505-2E9C-101B-9397-08002B2CF9AE}" pid="16" name="toc-title">
    <vt:lpwstr>Содержание</vt:lpwstr>
  </property>
</Properties>
</file>