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60"/>
      </w:pPr>
      <w:r>
        <w:t xml:space="preserve">Artimex BOS — validation draft</w:t>
      </w:r>
    </w:p>
    <w:p>
      <w:pPr>
        <w:spacing w:after="260"/>
      </w:pPr>
      <w:r>
        <w:rPr>
          <w:color w:val="6B625A"/>
        </w:rPr>
        <w:t xml:space="preserve">Document de travail pour validation client</w:t>
      </w:r>
    </w:p>
    <w:p>
      <w:pPr>
        <w:spacing w:after="220"/>
      </w:pPr>
      <w:r>
        <w:t xml:space="preserve">Ce document constitue le premier modèle de contenu opérationnel pour Artimex. Il reprend la méthode d’extraction structurée utilisée sur Vialterna : contenu séparé de l’interface, statut de validation explicite et file d’attente des éléments à confirmer avant publication.</w:t>
      </w:r>
    </w:p>
    <w:p>
      <w:pPr>
        <w:pStyle w:val="Heading1"/>
      </w:pPr>
      <w:r>
        <w:t xml:space="preserve">Sitemap proposé</w:t>
      </w:r>
    </w:p>
    <w:tbl>
      <w:tblPr>
        <w:tblW w:type="pct" w:w="100%"/>
        <w:tblBorders>
          <w:top w:val="single" w:color="D8CEC3" w:sz="4"/>
          <w:left w:val="single" w:color="D8CEC3" w:sz="4"/>
          <w:bottom w:val="single" w:color="D8CEC3" w:sz="4"/>
          <w:right w:val="single" w:color="D8CEC3" w:sz="4"/>
          <w:insideH w:val="single" w:color="D8CEC3" w:sz="4"/>
          <w:insideV w:val="single" w:color="D8CEC3" w:sz="4"/>
        </w:tblBorders>
      </w:tblPr>
      <w:tblGrid>
        <w:gridCol w:w="100"/>
        <w:gridCol w:w="100"/>
        <w:gridCol w:w="100"/>
      </w:tblGrid>
      <w:tr>
        <w:tc>
          <w:tcPr>
            <w:tcW w:type="pct" w:w="25%"/>
          </w:tcPr>
          <w:p>
            <w:r>
              <w:rPr>
                <w:b/>
                <w:bCs/>
              </w:rPr>
              <w:t xml:space="preserve">Route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Rôle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CTA principal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/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Marque, offre fraîche et première conversion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Shop fresh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/es/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Équivalent espagnol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Comprar fresco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/about/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Histoire, savoir-faire et crédibilité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Talk to sales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/products/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Catalogue produits validé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Request catalogue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/wholesale/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Offre retail, restaurant et foodservice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Request wholesale access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/news/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Presse et actualités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Read article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/contact/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Routage des prospects et localisation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Email sales</w:t>
            </w:r>
          </w:p>
        </w:tc>
      </w:tr>
    </w:tbl>
    <w:p>
      <w:pPr>
        <w:pStyle w:val="Heading1"/>
      </w:pPr>
      <w:r>
        <w:t xml:space="preserve">Blocs de contenu de la homepage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1. Hero : </w:t>
      </w:r>
      <w:r>
        <w:t xml:space="preserve">Authenticité, tradition, ingrédients supérieurs ; distinguer les parcours frais et surgelé.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2. Histoire de marque : </w:t>
      </w:r>
      <w:r>
        <w:t xml:space="preserve">Hands, head and heart ; présenter la boulangerie mexicaine comme un savoir-faire.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3. Découverte produits : </w:t>
      </w:r>
      <w:r>
        <w:t xml:space="preserve">Sélection fraîche, puis catalogue wholesale.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4. Valeur business : </w:t>
      </w:r>
      <w:r>
        <w:t xml:space="preserve">Main-d’œuvre, régularité, merma et simplicité opérationnelle.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5. Processus : </w:t>
      </w:r>
      <w:r>
        <w:t xml:space="preserve">Stocker → préparer → cuire → vendre, avec instructions par produit.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6. Preuves : </w:t>
      </w:r>
      <w:r>
        <w:t xml:space="preserve">Métriques approuvées, références, presse et capacité de production.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7. Contact : </w:t>
      </w:r>
      <w:r>
        <w:t xml:space="preserve">Email commercial, téléphone, adresse et qualification wholesale.</w:t>
      </w:r>
    </w:p>
    <w:p>
      <w:pPr>
        <w:pStyle w:val="Heading1"/>
      </w:pPr>
      <w:r>
        <w:t xml:space="preserve">Modèle éditorial</w:t>
      </w:r>
    </w:p>
    <w:p>
      <w:pPr>
        <w:spacing w:after="180" w:before="100"/>
        <w:jc w:val="center"/>
      </w:pPr>
      <w:r>
        <w:t xml:space="preserve">Draft → Revue interne → Validation client → Publié → Revue périodique</w:t>
      </w:r>
    </w:p>
    <w:p>
      <w:pPr>
        <w:spacing w:after="220"/>
      </w:pPr>
      <w:r>
        <w:t xml:space="preserve">Chaque fiche doit contenir : status, source, owner, lastReviewedAt et locale. Une affirmation sans source ou validation client reste exclue des sections de preuve publiques.</w:t>
      </w:r>
    </w:p>
    <w:p>
      <w:pPr>
        <w:pStyle w:val="Heading1"/>
      </w:pPr>
      <w:r>
        <w:t xml:space="preserve">Objets de contenu recommandés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BrandProfile : </w:t>
      </w:r>
      <w:r>
        <w:t xml:space="preserve">Nom, signature, histoire, audiences, preuves et affirmations approuvées.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Product : </w:t>
      </w:r>
      <w:r>
        <w:t xml:space="preserve">Nom, catégorie, description, image, conditionnement, format, conservation, préparation, allergènes et disponibilité.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Channel : </w:t>
      </w:r>
      <w:r>
        <w:t xml:space="preserve">Fresh retail, wholesale, foodservice et distribution ; CTA et champs de qualification.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StoryBlock : </w:t>
      </w:r>
      <w:r>
        <w:t xml:space="preserve">Page, ordre, eyebrow, titre, texte, image et locale.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ProofPoint : </w:t>
      </w:r>
      <w:r>
        <w:t xml:space="preserve">Métrique ou référence avec source, date et statut d’approbation.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PressItem : </w:t>
      </w:r>
      <w:r>
        <w:t xml:space="preserve">Titre, publication, date, URL, extrait et image.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ContactPoint : </w:t>
      </w:r>
      <w:r>
        <w:t xml:space="preserve">Email, téléphone, adresse et libellé de routage.</w:t>
      </w:r>
    </w:p>
    <w:p>
      <w:pPr>
        <w:pStyle w:val="Heading1"/>
      </w:pPr>
      <w:r>
        <w:t xml:space="preserve">Décisions à obtenir du client</w:t>
      </w:r>
    </w:p>
    <w:p>
      <w:pPr>
        <w:spacing w:after="80"/>
      </w:pPr>
      <w:r>
        <w:rPr>
          <w:b/>
          <w:bCs/>
        </w:rPr>
        <w:t xml:space="preserve">☐ </w:t>
      </w:r>
      <w:r>
        <w:t xml:space="preserve">La priorité commerciale est-elle le retail frais, le wholesale, le foodservice ou un parcours partagé ?</w:t>
      </w:r>
    </w:p>
    <w:p>
      <w:pPr>
        <w:spacing w:after="80"/>
      </w:pPr>
      <w:r>
        <w:rPr>
          <w:b/>
          <w:bCs/>
        </w:rPr>
        <w:t xml:space="preserve">☐ </w:t>
      </w:r>
      <w:r>
        <w:t xml:space="preserve">Quels produits sont disponibles aujourd’hui, dans quels formats et sur quels territoires ?</w:t>
      </w:r>
    </w:p>
    <w:p>
      <w:pPr>
        <w:spacing w:after="80"/>
      </w:pPr>
      <w:r>
        <w:rPr>
          <w:b/>
          <w:bCs/>
        </w:rPr>
        <w:t xml:space="preserve">☐ </w:t>
      </w:r>
      <w:r>
        <w:t xml:space="preserve">Quelles métriques de production sont actuelles et publiables ?</w:t>
      </w:r>
    </w:p>
    <w:p>
      <w:pPr>
        <w:spacing w:after="80"/>
      </w:pPr>
      <w:r>
        <w:rPr>
          <w:b/>
          <w:bCs/>
        </w:rPr>
        <w:t xml:space="preserve">☐ </w:t>
      </w:r>
      <w:r>
        <w:t xml:space="preserve">Quelles références clients, certifications et publications peuvent être affichées ?</w:t>
      </w:r>
    </w:p>
    <w:p>
      <w:pPr>
        <w:spacing w:after="80"/>
      </w:pPr>
      <w:r>
        <w:rPr>
          <w:b/>
          <w:bCs/>
        </w:rPr>
        <w:t xml:space="preserve">☐ </w:t>
      </w:r>
      <w:r>
        <w:t xml:space="preserve">Quel est le processus de traitement des leads après sales@artimex.com ?</w:t>
      </w:r>
    </w:p>
    <w:p>
      <w:pPr>
        <w:pStyle w:val="Heading1"/>
      </w:pPr>
      <w:r>
        <w:t xml:space="preserve">Points de validation issus de l’extraction</w:t>
      </w:r>
    </w:p>
    <w:p>
      <w:pPr>
        <w:spacing w:after="80"/>
      </w:pPr>
      <w:r>
        <w:rPr>
          <w:b/>
          <w:bCs/>
        </w:rPr>
        <w:t xml:space="preserve">☐ </w:t>
      </w:r>
      <w:r>
        <w:t xml:space="preserve">130+ recettes authentiques — à confirmer.</w:t>
      </w:r>
    </w:p>
    <w:p>
      <w:pPr>
        <w:spacing w:after="80"/>
      </w:pPr>
      <w:r>
        <w:rPr>
          <w:b/>
          <w:bCs/>
        </w:rPr>
        <w:t xml:space="preserve">☐ </w:t>
      </w:r>
      <w:r>
        <w:t xml:space="preserve">25M de pièces produites par an — à confirmer.</w:t>
      </w:r>
    </w:p>
    <w:p>
      <w:pPr>
        <w:spacing w:after="80"/>
      </w:pPr>
      <w:r>
        <w:rPr>
          <w:b/>
          <w:bCs/>
        </w:rPr>
        <w:t xml:space="preserve">☐ </w:t>
      </w:r>
      <w:r>
        <w:t xml:space="preserve">1M+ de capacité hebdomadaire — à confirmer.</w:t>
      </w:r>
    </w:p>
    <w:p>
      <w:pPr>
        <w:spacing w:after="80"/>
      </w:pPr>
      <w:r>
        <w:rPr>
          <w:b/>
          <w:bCs/>
        </w:rPr>
        <w:t xml:space="preserve">☐ </w:t>
      </w:r>
      <w:r>
        <w:t xml:space="preserve">3 lignes de production spécialisées — à confirmer.</w:t>
      </w:r>
    </w:p>
    <w:p>
      <w:pPr>
        <w:spacing w:after="80"/>
      </w:pPr>
      <w:r>
        <w:rPr>
          <w:b/>
          <w:bCs/>
        </w:rPr>
        <w:t xml:space="preserve">☐ </w:t>
      </w:r>
      <w:r>
        <w:t xml:space="preserve">Durée de conservation surgelée de 6 mois — à confirmer.</w:t>
      </w:r>
    </w:p>
    <w:p>
      <w:pPr>
        <w:spacing w:after="80"/>
      </w:pPr>
      <w:r>
        <w:rPr>
          <w:b/>
          <w:bCs/>
        </w:rPr>
        <w:t xml:space="preserve">☐ </w:t>
      </w:r>
      <w:r>
        <w:t xml:space="preserve">Relation actuelle avec El Gallo Giro et formulation autorisée — à confirmer.</w:t>
      </w:r>
    </w:p>
    <w:p>
      <w:pPr>
        <w:spacing w:after="80"/>
      </w:pPr>
      <w:r>
        <w:rPr>
          <w:b/>
          <w:bCs/>
        </w:rPr>
        <w:t xml:space="preserve">☐ </w:t>
      </w:r>
      <w:r>
        <w:t xml:space="preserve">Catalogue complet, formats, conditionnements et allergènes — à fournir.</w:t>
      </w:r>
    </w:p>
    <w:p>
      <w:pPr>
        <w:pStyle w:val="Heading1"/>
      </w:pPr>
      <w:r>
        <w:t xml:space="preserve">Sources legacy consultées</w:t>
      </w:r>
    </w:p>
    <w:p>
      <w:pPr>
        <w:spacing w:after="60"/>
      </w:pPr>
      <w:r>
        <w:t xml:space="preserve">https://www.artimexbakery.com/</w:t>
      </w:r>
    </w:p>
    <w:p>
      <w:pPr>
        <w:spacing w:after="60"/>
      </w:pPr>
      <w:r>
        <w:t xml:space="preserve">https://www.artimexbakery.com/aboutus.html</w:t>
      </w:r>
    </w:p>
    <w:p>
      <w:pPr>
        <w:spacing w:after="60"/>
      </w:pPr>
      <w:r>
        <w:t xml:space="preserve">https://www.artimexbakery.com/Our_Breads.html</w:t>
      </w:r>
    </w:p>
    <w:p>
      <w:pPr>
        <w:spacing w:after="60"/>
      </w:pPr>
      <w:r>
        <w:t xml:space="preserve">https://www.artimexbakery.com/news.html</w:t>
      </w:r>
    </w:p>
    <w:p>
      <w:pPr>
        <w:spacing w:after="60"/>
      </w:pPr>
      <w:r>
        <w:t xml:space="preserve">https://www.artimexbakery.com/contact.html</w:t>
      </w:r>
    </w:p>
    <w:p>
      <w:pPr>
        <w:spacing w:before="240"/>
      </w:pPr>
      <w:r>
        <w:rPr>
          <w:color w:val="6B625A"/>
        </w:rPr>
        <w:t xml:space="preserve">Préparé le 19 septembre 2026 · Artimex Artisan Mexican Bakery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2026-09-20T04:53:13.568Z</dcterms:created>
  <dcterms:modified xsi:type="dcterms:W3CDTF">2026-09-20T04:53:13.575Z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