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50" w:line="276"/>
      </w:pPr>
      <w:r>
        <w:rPr>
          <w:rFonts w:ascii="Aptos" w:cs="Aptos" w:eastAsia="Aptos" w:hAnsi="Aptos"/>
          <w:b/>
          <w:bCs/>
          <w:color w:val="B65F42"/>
          <w:sz w:val="20"/>
          <w:szCs w:val="20"/>
        </w:rPr>
        <w:t xml:space="preserve">ARTIMEX</w:t>
      </w:r>
    </w:p>
    <w:p>
      <w:pPr>
        <w:spacing w:before="0" w:after="100" w:line="276"/>
      </w:pPr>
      <w:r>
        <w:rPr>
          <w:rFonts w:ascii="Aptos" w:cs="Aptos" w:eastAsia="Aptos" w:hAnsi="Aptos"/>
          <w:b/>
          <w:bCs/>
          <w:color w:val="25323B"/>
          <w:sz w:val="42"/>
          <w:szCs w:val="42"/>
        </w:rPr>
        <w:t xml:space="preserve">Website Content &amp; Validation Brief</w:t>
      </w:r>
    </w:p>
    <w:p>
      <w:pPr>
        <w:spacing w:before="0" w:after="260" w:line="276"/>
      </w:pPr>
      <w:r>
        <w:rPr>
          <w:rFonts w:ascii="Aptos" w:cs="Aptos" w:eastAsia="Aptos" w:hAnsi="Aptos"/>
          <w:i/>
          <w:iCs/>
          <w:color w:val="66737A"/>
          <w:sz w:val="24"/>
          <w:szCs w:val="24"/>
        </w:rPr>
        <w:t xml:space="preserve">A clear English-language working document for client review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dxa" w:w="468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b/>
                <w:bCs/>
                <w:color w:val="1E5E85"/>
                <w:sz w:val="18"/>
                <w:szCs w:val="18"/>
              </w:rPr>
              <w:t xml:space="preserve">STATUS
</w:t>
            </w:r>
            <w:r>
              <w:rPr>
                <w:rFonts w:ascii="Aptos" w:cs="Aptos" w:eastAsia="Aptos" w:hAnsi="Aptos"/>
                <w:color w:val="25323B"/>
                <w:sz w:val="20"/>
                <w:szCs w:val="20"/>
              </w:rPr>
              <w:t xml:space="preserve">Draft for client review</w:t>
            </w:r>
          </w:p>
        </w:tc>
        <w:tc>
          <w:tcPr>
            <w:tcW w:type="dxa" w:w="468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b/>
                <w:bCs/>
                <w:color w:val="1E5E85"/>
                <w:sz w:val="18"/>
                <w:szCs w:val="18"/>
              </w:rPr>
              <w:t xml:space="preserve">LANGUAGE
</w:t>
            </w:r>
            <w:r>
              <w:rPr>
                <w:rFonts w:ascii="Aptos" w:cs="Aptos" w:eastAsia="Aptos" w:hAnsi="Aptos"/>
                <w:color w:val="25323B"/>
                <w:sz w:val="20"/>
                <w:szCs w:val="20"/>
              </w:rPr>
              <w:t xml:space="preserve">English · Spanish localized route at /es/</w:t>
            </w:r>
          </w:p>
        </w:tc>
      </w:tr>
    </w:tbl>
    <w:p>
      <w:pPr>
        <w:spacing w:before="0" w:after="22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Purpose. 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Confirm the proposed website structure, content priorities, and factual claims before publication. This is an internal validation brief—not public-facing website copy and not a visual design specification.</w:t>
      </w:r>
    </w:p>
    <w:p>
      <w:pPr>
        <w:pStyle w:val="Heading1"/>
        <w:keepNext/>
        <w:spacing w:before="300" w:after="110"/>
      </w:pPr>
      <w:r>
        <w:rPr>
          <w:rFonts w:ascii="Aptos" w:cs="Aptos" w:eastAsia="Aptos" w:hAnsi="Aptos"/>
          <w:b/>
          <w:bCs/>
          <w:color w:val="1E5E85"/>
          <w:sz w:val="29"/>
          <w:szCs w:val="29"/>
        </w:rPr>
        <w:t xml:space="preserve">1. Proposed site structure</w:t>
      </w:r>
    </w:p>
    <w:p>
      <w:pPr>
        <w:spacing w:before="0" w:after="10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 routes below are proposed and remain subject to the client’s commercial priorities and available content.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500"/>
        <w:gridCol w:w="5160"/>
        <w:gridCol w:w="2700"/>
      </w:tblGrid>
      <w:tr>
        <w:trPr>
          <w:tblHeader/>
        </w:trPr>
        <w:tc>
          <w:tcPr>
            <w:tcW w:type="dxa" w:w="1500"/>
            <w:shd w:fill="1E5E85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default"/>
            </w:r>
          </w:p>
        </w:tc>
        <w:tc>
          <w:tcPr>
            <w:tcW w:type="dxa" w:w="5160"/>
            <w:shd w:fill="1E5E85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default"/>
            </w:r>
          </w:p>
        </w:tc>
        <w:tc>
          <w:tcPr>
            <w:tcW w:type="dxa" w:w="2700"/>
            <w:shd w:fill="1E5E85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default"/>
            </w:r>
          </w:p>
        </w:tc>
      </w:tr>
      <w:tr>
        <w:tc>
          <w:tcPr>
            <w:tcW w:type="dxa" w:w="15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/</w:t>
            </w:r>
          </w:p>
        </w:tc>
        <w:tc>
          <w:tcPr>
            <w:tcW w:type="dxa" w:w="516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Brand introduction, fresh offer, and first conversion</w:t>
            </w:r>
          </w:p>
        </w:tc>
        <w:tc>
          <w:tcPr>
            <w:tcW w:type="dxa" w:w="27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Shop fresh</w:t>
            </w:r>
          </w:p>
        </w:tc>
      </w:tr>
      <w:tr>
        <w:tc>
          <w:tcPr>
            <w:tcW w:type="dxa" w:w="15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/es/</w:t>
            </w:r>
          </w:p>
        </w:tc>
        <w:tc>
          <w:tcPr>
            <w:tcW w:type="dxa" w:w="516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Spanish-language version of the core experience</w:t>
            </w:r>
          </w:p>
        </w:tc>
        <w:tc>
          <w:tcPr>
            <w:tcW w:type="dxa" w:w="27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Comprar fresco</w:t>
            </w:r>
          </w:p>
        </w:tc>
      </w:tr>
      <w:tr>
        <w:tc>
          <w:tcPr>
            <w:tcW w:type="dxa" w:w="15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/about/</w:t>
            </w:r>
          </w:p>
        </w:tc>
        <w:tc>
          <w:tcPr>
            <w:tcW w:type="dxa" w:w="516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Brand story, craft, and credibility</w:t>
            </w:r>
          </w:p>
        </w:tc>
        <w:tc>
          <w:tcPr>
            <w:tcW w:type="dxa" w:w="27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Talk to sales</w:t>
            </w:r>
          </w:p>
        </w:tc>
      </w:tr>
      <w:tr>
        <w:tc>
          <w:tcPr>
            <w:tcW w:type="dxa" w:w="15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/products/</w:t>
            </w:r>
          </w:p>
        </w:tc>
        <w:tc>
          <w:tcPr>
            <w:tcW w:type="dxa" w:w="516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Approved product catalogue</w:t>
            </w:r>
          </w:p>
        </w:tc>
        <w:tc>
          <w:tcPr>
            <w:tcW w:type="dxa" w:w="27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Request catalogue</w:t>
            </w:r>
          </w:p>
        </w:tc>
      </w:tr>
      <w:tr>
        <w:tc>
          <w:tcPr>
            <w:tcW w:type="dxa" w:w="15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/wholesale/</w:t>
            </w:r>
          </w:p>
        </w:tc>
        <w:tc>
          <w:tcPr>
            <w:tcW w:type="dxa" w:w="516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Retail, restaurant, and foodservice offer</w:t>
            </w:r>
          </w:p>
        </w:tc>
        <w:tc>
          <w:tcPr>
            <w:tcW w:type="dxa" w:w="27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Request wholesale access</w:t>
            </w:r>
          </w:p>
        </w:tc>
      </w:tr>
      <w:tr>
        <w:tc>
          <w:tcPr>
            <w:tcW w:type="dxa" w:w="15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/news/</w:t>
            </w:r>
          </w:p>
        </w:tc>
        <w:tc>
          <w:tcPr>
            <w:tcW w:type="dxa" w:w="516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Press and company updates</w:t>
            </w:r>
          </w:p>
        </w:tc>
        <w:tc>
          <w:tcPr>
            <w:tcW w:type="dxa" w:w="27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Read article</w:t>
            </w:r>
          </w:p>
        </w:tc>
      </w:tr>
      <w:tr>
        <w:tc>
          <w:tcPr>
            <w:tcW w:type="dxa" w:w="15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/contact/</w:t>
            </w:r>
          </w:p>
        </w:tc>
        <w:tc>
          <w:tcPr>
            <w:tcW w:type="dxa" w:w="516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Sales routing and location details</w:t>
            </w:r>
          </w:p>
        </w:tc>
        <w:tc>
          <w:tcPr>
            <w:tcW w:type="dxa" w:w="27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Contact sales</w:t>
            </w:r>
          </w:p>
        </w:tc>
      </w:tr>
    </w:tbl>
    <w:p>
      <w:pPr>
        <w:pStyle w:val="Heading1"/>
        <w:keepNext/>
        <w:spacing w:before="300" w:after="110"/>
      </w:pPr>
      <w:r>
        <w:rPr>
          <w:rFonts w:ascii="Aptos" w:cs="Aptos" w:eastAsia="Aptos" w:hAnsi="Aptos"/>
          <w:b/>
          <w:bCs/>
          <w:color w:val="1E5E85"/>
          <w:sz w:val="29"/>
          <w:szCs w:val="29"/>
        </w:rPr>
        <w:t xml:space="preserve">2. Homepage content direction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Hero — Present Artimex as an authentic Mexican bakery and clearly distinguish fresh and frozen offerings.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Brand story — Show the craft, people, and tradition behind the products.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Product discovery — Lead with a curated selection, then provide access to the full wholesale catalogue.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Business value — Explain consistency, labor savings, waste reduction, and operational simplicity for business customers.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Preparation and service — Show the practical path from storage to preparation, baking, and sale.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Proof — Use only approved metrics, customer references, certifications, press, and production capabilities.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Contact — Give visitors a clear sales contact and qualify wholesale enquiries.</w:t>
      </w:r>
    </w:p>
    <w:p>
      <w:pPr>
        <w:pStyle w:val="Heading1"/>
        <w:keepNext/>
        <w:spacing w:before="300" w:after="110"/>
      </w:pPr>
      <w:r>
        <w:rPr>
          <w:rFonts w:ascii="Aptos" w:cs="Aptos" w:eastAsia="Aptos" w:hAnsi="Aptos"/>
          <w:b/>
          <w:bCs/>
          <w:color w:val="1E5E85"/>
          <w:sz w:val="29"/>
          <w:szCs w:val="29"/>
        </w:rPr>
        <w:t xml:space="preserve">3. Recommended content records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1E5E85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default"/>
            </w:r>
          </w:p>
        </w:tc>
        <w:tc>
          <w:tcPr>
            <w:tcW w:type="dxa" w:w="6660"/>
            <w:shd w:fill="1E5E85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default"/>
            </w:r>
          </w:p>
        </w:tc>
      </w:tr>
      <w:tr>
        <w:tc>
          <w:tcPr>
            <w:tcW w:type="dxa" w:w="27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Brand profile</w:t>
            </w:r>
          </w:p>
        </w:tc>
        <w:tc>
          <w:tcPr>
            <w:tcW w:type="dxa" w:w="666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Name, signature, story, audiences, approved proof points</w:t>
            </w:r>
          </w:p>
        </w:tc>
      </w:tr>
      <w:tr>
        <w:tc>
          <w:tcPr>
            <w:tcW w:type="dxa" w:w="27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Product</w:t>
            </w:r>
          </w:p>
        </w:tc>
        <w:tc>
          <w:tcPr>
            <w:tcW w:type="dxa" w:w="666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Name, category, description, image, format, packaging, storage, preparation, allergens, availability</w:t>
            </w:r>
          </w:p>
        </w:tc>
      </w:tr>
      <w:tr>
        <w:tc>
          <w:tcPr>
            <w:tcW w:type="dxa" w:w="27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Channel</w:t>
            </w:r>
          </w:p>
        </w:tc>
        <w:tc>
          <w:tcPr>
            <w:tcW w:type="dxa" w:w="666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Fresh retail, wholesale, foodservice, or distribution; CTA and qualification fields</w:t>
            </w:r>
          </w:p>
        </w:tc>
      </w:tr>
      <w:tr>
        <w:tc>
          <w:tcPr>
            <w:tcW w:type="dxa" w:w="27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Story block</w:t>
            </w:r>
          </w:p>
        </w:tc>
        <w:tc>
          <w:tcPr>
            <w:tcW w:type="dxa" w:w="666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Page, order, eyebrow, title, copy, image, and locale</w:t>
            </w:r>
          </w:p>
        </w:tc>
      </w:tr>
      <w:tr>
        <w:tc>
          <w:tcPr>
            <w:tcW w:type="dxa" w:w="27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Proof point</w:t>
            </w:r>
          </w:p>
        </w:tc>
        <w:tc>
          <w:tcPr>
            <w:tcW w:type="dxa" w:w="666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Metric or reference, source, date, and approval status</w:t>
            </w:r>
          </w:p>
        </w:tc>
      </w:tr>
      <w:tr>
        <w:tc>
          <w:tcPr>
            <w:tcW w:type="dxa" w:w="270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Press item</w:t>
            </w:r>
          </w:p>
        </w:tc>
        <w:tc>
          <w:tcPr>
            <w:tcW w:type="dxa" w:w="6660"/>
            <w:shd w:fill="FFFFFF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Title, publication, date, URL, excerpt, and image</w:t>
            </w:r>
          </w:p>
        </w:tc>
      </w:tr>
      <w:tr>
        <w:tc>
          <w:tcPr>
            <w:tcW w:type="dxa" w:w="270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Contact point</w:t>
            </w:r>
          </w:p>
        </w:tc>
        <w:tc>
          <w:tcPr>
            <w:tcW w:type="dxa" w:w="6660"/>
            <w:shd w:fill="EAF2F6" w:val="clear"/>
            <w:vAlign w:val="center"/>
          </w:tcPr>
          <w:p>
            <w:pPr>
              <w:spacing w:after="40" w:line="240"/>
            </w:pPr>
            <w:r>
              <w:rPr>
                <w:rFonts w:ascii="Aptos" w:cs="Aptos" w:eastAsia="Aptos" w:hAnsi="Aptos"/>
                <w:color w:val="25323B"/>
                <w:sz w:val="21"/>
                <w:szCs w:val="21"/>
              </w:rPr>
              <w:t xml:space="preserve">Email, phone, address, and routing label</w:t>
            </w:r>
          </w:p>
        </w:tc>
      </w:tr>
    </w:tbl>
    <w:p>
      <w:pPr>
        <w:spacing w:before="0" w:after="80" w:line="276"/>
      </w:pPr>
      <w:r>
        <w:rPr>
          <w:rFonts w:ascii="Aptos" w:cs="Aptos" w:eastAsia="Aptos" w:hAnsi="Aptos"/>
          <w:i/>
          <w:iCs/>
          <w:color w:val="66737A"/>
          <w:sz w:val="21"/>
          <w:szCs w:val="21"/>
        </w:rPr>
        <w:t xml:space="preserve">Every record should have a clear status, source, owner, last-reviewed date, and locale.</w:t>
      </w:r>
    </w:p>
    <w:p>
      <w:pPr>
        <w:pStyle w:val="Heading1"/>
        <w:keepNext/>
        <w:spacing w:before="300" w:after="110"/>
      </w:pPr>
      <w:r>
        <w:rPr>
          <w:rFonts w:ascii="Aptos" w:cs="Aptos" w:eastAsia="Aptos" w:hAnsi="Aptos"/>
          <w:b/>
          <w:bCs/>
          <w:color w:val="1E5E85"/>
          <w:sz w:val="29"/>
          <w:szCs w:val="29"/>
        </w:rPr>
        <w:t xml:space="preserve">4. Editorial workflow</w:t>
      </w:r>
    </w:p>
    <w:p>
      <w:pPr>
        <w:spacing w:before="0" w:after="160" w:line="276"/>
        <w:jc w:val="center"/>
      </w:pPr>
      <w:r>
        <w:rPr>
          <w:rFonts w:ascii="Aptos" w:cs="Aptos" w:eastAsia="Aptos" w:hAnsi="Aptos"/>
          <w:b/>
          <w:bCs/>
          <w:color w:val="B65F42"/>
          <w:sz w:val="21"/>
          <w:szCs w:val="21"/>
        </w:rPr>
        <w:t xml:space="preserve">Draft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 →  Internal review  →  </w:t>
      </w:r>
      <w:r>
        <w:rPr>
          <w:rFonts w:ascii="Aptos" w:cs="Aptos" w:eastAsia="Aptos" w:hAnsi="Aptos"/>
          <w:b/>
          <w:bCs/>
          <w:color w:val="B65F42"/>
          <w:sz w:val="21"/>
          <w:szCs w:val="21"/>
        </w:rPr>
        <w:t xml:space="preserve">Client validation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  →  Published  →  Periodic review</w:t>
      </w:r>
    </w:p>
    <w:p>
      <w:pPr>
        <w:spacing w:before="0" w:after="12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Any factual claim without a reliable source or client approval must remain out of public proof sections until it is validated.</w:t>
      </w:r>
    </w:p>
    <w:p>
      <w:pPr>
        <w:pStyle w:val="Heading1"/>
        <w:keepNext/>
        <w:spacing w:before="300" w:after="110"/>
      </w:pPr>
      <w:r>
        <w:rPr>
          <w:rFonts w:ascii="Aptos" w:cs="Aptos" w:eastAsia="Aptos" w:hAnsi="Aptos"/>
          <w:b/>
          <w:bCs/>
          <w:color w:val="1E5E85"/>
          <w:sz w:val="29"/>
          <w:szCs w:val="29"/>
        </w:rPr>
        <w:t xml:space="preserve">5. Decisions required from the client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Is the main commercial priority fresh retail, wholesale, foodservice, or a shared journey?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Which products are currently available, in which formats, and in which territories?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Which production metrics are current and approved for publication?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Which customer references, certifications, and press links may be shown publicly?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What is the lead-to-order process after sales@artimex.com?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Which product catalogue, formats, packaging, storage instructions, and allergen information can be provided?</w:t>
      </w:r>
    </w:p>
    <w:p>
      <w:pPr>
        <w:pStyle w:val="Heading1"/>
        <w:keepNext/>
        <w:spacing w:before="300" w:after="110"/>
      </w:pPr>
      <w:r>
        <w:rPr>
          <w:rFonts w:ascii="Aptos" w:cs="Aptos" w:eastAsia="Aptos" w:hAnsi="Aptos"/>
          <w:b/>
          <w:bCs/>
          <w:color w:val="1E5E85"/>
          <w:sz w:val="29"/>
          <w:szCs w:val="29"/>
        </w:rPr>
        <w:t xml:space="preserve">6. Claims requiring confirmation</w:t>
      </w:r>
    </w:p>
    <w:p>
      <w:pPr>
        <w:spacing w:before="0" w:after="10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The following statements were found in legacy material and must not be published until confirmed by Artimex: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130+ authentic recipes.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25M pieces produced per year.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1M+ weekly production capacity.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Three specialized production lines.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Six-month frozen shelf life.</w:t>
      </w:r>
    </w:p>
    <w:p>
      <w:pPr>
        <w:pStyle w:val="ListParagraph"/>
        <w:pStyle w:val="BodyText"/>
        <w:numPr>
          <w:ilvl w:val="0"/>
          <w:numId w:val="1"/>
        </w:numPr>
        <w:spacing w:after="80" w:line="276"/>
      </w:pPr>
      <w:r>
        <w:t xml:space="preserve">Current relationship with El Gallo Giro and the wording that may be used publicly.</w:t>
      </w:r>
    </w:p>
    <w:p>
      <w:pPr>
        <w:pStyle w:val="Heading1"/>
        <w:keepNext/>
        <w:spacing w:before="300" w:after="110"/>
      </w:pPr>
      <w:r>
        <w:rPr>
          <w:rFonts w:ascii="Aptos" w:cs="Aptos" w:eastAsia="Aptos" w:hAnsi="Aptos"/>
          <w:b/>
          <w:bCs/>
          <w:color w:val="1E5E85"/>
          <w:sz w:val="29"/>
          <w:szCs w:val="29"/>
        </w:rPr>
        <w:t xml:space="preserve">7. Sources reviewed</w:t>
      </w:r>
    </w:p>
    <w:p>
      <w:pPr>
        <w:spacing w:before="0" w:after="4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https://www.artimexbakery.com/</w:t>
      </w:r>
    </w:p>
    <w:p>
      <w:pPr>
        <w:spacing w:before="0" w:after="4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https://www.artimexbakery.com/aboutus.html</w:t>
      </w:r>
    </w:p>
    <w:p>
      <w:pPr>
        <w:spacing w:before="0" w:after="4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https://www.artimexbakery.com/Our_Breads.html</w:t>
      </w:r>
    </w:p>
    <w:p>
      <w:pPr>
        <w:spacing w:before="0" w:after="4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https://www.artimexbakery.com/news.html</w:t>
      </w:r>
    </w:p>
    <w:p>
      <w:pPr>
        <w:spacing w:before="0" w:after="40" w:line="276"/>
      </w:pPr>
      <w:r>
        <w:rPr>
          <w:rFonts w:ascii="Aptos" w:cs="Aptos" w:eastAsia="Aptos" w:hAnsi="Aptos"/>
          <w:color w:val="25323B"/>
          <w:sz w:val="21"/>
          <w:szCs w:val="21"/>
        </w:rPr>
        <w:t xml:space="preserve">https://www.artimexbakery.com/contact.html</w:t>
      </w:r>
    </w:p>
    <w:p>
      <w:pPr>
        <w:spacing w:before="160" w:after="0" w:line="276"/>
      </w:pPr>
      <w:r>
        <w:rPr>
          <w:rFonts w:ascii="Aptos" w:cs="Aptos" w:eastAsia="Aptos" w:hAnsi="Aptos"/>
          <w:b/>
          <w:bCs/>
          <w:color w:val="25323B"/>
          <w:sz w:val="21"/>
          <w:szCs w:val="21"/>
        </w:rPr>
        <w:t xml:space="preserve">Prepared for review: </w:t>
      </w:r>
      <w:r>
        <w:rPr>
          <w:rFonts w:ascii="Aptos" w:cs="Aptos" w:eastAsia="Aptos" w:hAnsi="Aptos"/>
          <w:color w:val="25323B"/>
          <w:sz w:val="21"/>
          <w:szCs w:val="21"/>
        </w:rPr>
        <w:t xml:space="preserve">19 September 2026 · Artimex Artisan Mexican Bakery</w:t>
      </w:r>
    </w:p>
    <w:sectPr>
      <w:footerReference w:type="default" r:id="rId6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66737A"/>
        <w:sz w:val="16"/>
        <w:szCs w:val="16"/>
      </w:rPr>
      <w:t xml:space="preserve">Artimex · Website Content &amp; Validation Brief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532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pPr>
      <w:spacing w:after="80" w:line="276"/>
    </w:pPr>
    <w:rPr>
      <w:rFonts w:ascii="Aptos" w:cs="Aptos" w:eastAsia="Aptos" w:hAnsi="Aptos"/>
      <w:color w:val="25323B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Artimex Website Content and Validation Brief</dc:title>
  <dc:creator>Artimex</dc:creator>
  <dc:description>English-language content and validation brief for the Artimex website.</dc:description>
  <cp:lastModifiedBy>Un-named</cp:lastModifiedBy>
  <cp:revision>1</cp:revision>
  <dcterms:created xsi:type="dcterms:W3CDTF">2026-09-21T16:33:58.770Z</dcterms:created>
  <dcterms:modified xsi:type="dcterms:W3CDTF">2026-09-21T16:33:58.778Z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