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Arial" w:hAnsi="Arial"/>
          <w:b/>
          <w:color w:val="1F4E78"/>
          <w:sz w:val="36"/>
        </w:rPr>
        <w:t>InteliReg</w:t>
      </w:r>
    </w:p>
    <w:p>
      <w:pPr>
        <w:pStyle w:val="Title"/>
        <w:jc w:val="center"/>
      </w:pPr>
      <w:r>
        <w:t>RQ-04C - Plano de Curadoria Documental</w:t>
      </w:r>
    </w:p>
    <w:p>
      <w:pPr>
        <w:spacing w:before="160"/>
        <w:jc w:val="center"/>
      </w:pPr>
      <w:r>
        <w:rPr>
          <w:rFonts w:ascii="Arial" w:hAnsi="Arial"/>
          <w:sz w:val="24"/>
        </w:rPr>
        <w:t>Sequência planejada para validação documental do retrieval regulatório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5953"/>
      </w:tblGrid>
      <w:tr>
        <w:tc>
          <w:tcPr>
            <w:tcW w:type="dxa" w:w="4929"/>
            <w:vAlign w:val="center"/>
            <w:shd w:fill="F2F2F2"/>
          </w:tcPr>
          <w:p>
            <w:r/>
            <w:r>
              <w:rPr>
                <w:rFonts w:ascii="Arial" w:hAnsi="Arial"/>
                <w:b/>
                <w:sz w:val="19"/>
              </w:rPr>
              <w:t>Status</w:t>
            </w:r>
          </w:p>
        </w:tc>
        <w:tc>
          <w:tcPr>
            <w:tcW w:type="dxa" w:w="4929"/>
            <w:vAlign w:val="center"/>
            <w:shd w:fill="FFF2CC"/>
          </w:tcPr>
          <w:p>
            <w:r/>
            <w:r>
              <w:rPr>
                <w:rFonts w:ascii="Arial" w:hAnsi="Arial"/>
                <w:b w:val="0"/>
                <w:sz w:val="19"/>
              </w:rPr>
              <w:t>PLANEJADO / ADIADO PARA EXECUÇÃO POSTERIOR</w:t>
            </w:r>
          </w:p>
        </w:tc>
      </w:tr>
      <w:tr>
        <w:tc>
          <w:tcPr>
            <w:tcW w:type="dxa" w:w="4929"/>
            <w:vAlign w:val="center"/>
            <w:shd w:fill="F2F2F2"/>
          </w:tcPr>
          <w:p>
            <w:r/>
            <w:r>
              <w:rPr>
                <w:rFonts w:ascii="Arial" w:hAnsi="Arial"/>
                <w:b/>
                <w:sz w:val="19"/>
              </w:rPr>
              <w:t>Versão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1.0</w:t>
            </w:r>
          </w:p>
        </w:tc>
      </w:tr>
      <w:tr>
        <w:tc>
          <w:tcPr>
            <w:tcW w:type="dxa" w:w="4929"/>
            <w:vAlign w:val="center"/>
            <w:shd w:fill="F2F2F2"/>
          </w:tcPr>
          <w:p>
            <w:r/>
            <w:r>
              <w:rPr>
                <w:rFonts w:ascii="Arial" w:hAnsi="Arial"/>
                <w:b/>
                <w:sz w:val="19"/>
              </w:rPr>
              <w:t>Data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21/08/2026</w:t>
            </w:r>
          </w:p>
        </w:tc>
      </w:tr>
      <w:tr>
        <w:tc>
          <w:tcPr>
            <w:tcW w:type="dxa" w:w="4929"/>
            <w:vAlign w:val="center"/>
            <w:shd w:fill="F2F2F2"/>
          </w:tcPr>
          <w:p>
            <w:r/>
            <w:r>
              <w:rPr>
                <w:rFonts w:ascii="Arial" w:hAnsi="Arial"/>
                <w:b/>
                <w:sz w:val="19"/>
              </w:rPr>
              <w:t>Escopo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Curadoria de relevância documental dos casos MVP</w:t>
            </w:r>
          </w:p>
        </w:tc>
      </w:tr>
      <w:tr>
        <w:tc>
          <w:tcPr>
            <w:tcW w:type="dxa" w:w="4929"/>
            <w:vAlign w:val="center"/>
            <w:shd w:fill="F2F2F2"/>
          </w:tcPr>
          <w:p>
            <w:r/>
            <w:r>
              <w:rPr>
                <w:rFonts w:ascii="Arial" w:hAnsi="Arial"/>
                <w:b/>
                <w:sz w:val="19"/>
              </w:rPr>
              <w:t>Próxima prioridade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Estabilização operacional e preparação do MVP para produção</w:t>
            </w:r>
          </w:p>
        </w:tc>
      </w:tr>
    </w:tbl>
    <w:p>
      <w:r>
        <w:br w:type="page"/>
      </w:r>
    </w:p>
    <w:p>
      <w:pPr>
        <w:pStyle w:val="Heading1"/>
      </w:pPr>
      <w:r>
        <w:t>1. Objetivo e decisão de priorização</w:t>
      </w:r>
    </w:p>
    <w:p>
      <w:r>
        <w:t>Este documento registra a sequência de curadoria documental que deverá ser executada posteriormente, sem bloquear a subida do MVP do InteliReg para produção. A decisão atual é congelar a evolução estrutural do retrieval, exceto por correções de defeitos, e concentrar as próximas alterações em hardening operacional, configuração e segurança de produção.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E2F0D9"/>
          </w:tcPr>
          <w:p>
            <w:pPr>
              <w:spacing w:after="60"/>
            </w:pPr>
            <w:r>
              <w:rPr>
                <w:rFonts w:ascii="Arial" w:hAnsi="Arial"/>
                <w:b/>
                <w:sz w:val="21"/>
              </w:rPr>
              <w:t>Decisão de fase</w:t>
            </w:r>
          </w:p>
          <w:p>
            <w:pPr>
              <w:spacing w:after="0"/>
            </w:pPr>
            <w:r>
              <w:rPr>
                <w:rFonts w:ascii="Arial" w:hAnsi="Arial"/>
                <w:sz w:val="20"/>
              </w:rPr>
              <w:t>A RQ-04C fica formalmente registrada como backlog técnico-regulatório. O retrieval atual será tratado como baseline estável durante a preparação de produção. Ajustes futuros de ranking deverão ser guiados pela curadoria descrita neste documento.</w:t>
            </w:r>
          </w:p>
        </w:tc>
      </w:tr>
    </w:tbl>
    <w:p>
      <w:pPr>
        <w:spacing w:after="0"/>
      </w:pPr>
    </w:p>
    <w:p>
      <w:pPr>
        <w:pStyle w:val="Heading1"/>
      </w:pPr>
      <w:r>
        <w:t>2. Baseline registrada antes da curadoria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vAlign w:val="center"/>
            <w:shd w:fill="1F4E78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9"/>
              </w:rPr>
              <w:t>Item</w:t>
            </w:r>
          </w:p>
        </w:tc>
        <w:tc>
          <w:tcPr>
            <w:tcW w:type="dxa" w:w="3286"/>
            <w:vAlign w:val="center"/>
            <w:shd w:fill="1F4E78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9"/>
              </w:rPr>
              <w:t>Baseline</w:t>
            </w:r>
          </w:p>
        </w:tc>
        <w:tc>
          <w:tcPr>
            <w:tcW w:type="dxa" w:w="3286"/>
            <w:vAlign w:val="center"/>
            <w:shd w:fill="1F4E78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9"/>
              </w:rPr>
              <w:t>Situação</w:t>
            </w:r>
          </w:p>
        </w:tc>
      </w:tr>
      <w:tr>
        <w:tc>
          <w:tcPr>
            <w:tcW w:type="dxa" w:w="328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Pipeline ativo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mvp-v2-semantic-v2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Estável</w:t>
            </w:r>
          </w:p>
        </w:tc>
      </w:tr>
      <w:tr>
        <w:tc>
          <w:tcPr>
            <w:tcW w:type="dxa" w:w="328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Vocabulário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semantic-v2.0-mvp-seed - 60 conceitos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Seed pendente de revisão de domínio</w:t>
            </w:r>
          </w:p>
        </w:tc>
      </w:tr>
      <w:tr>
        <w:tc>
          <w:tcPr>
            <w:tcW w:type="dxa" w:w="328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Golden semântico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164/164 casos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PASS</w:t>
            </w:r>
          </w:p>
        </w:tc>
      </w:tr>
      <w:tr>
        <w:tc>
          <w:tcPr>
            <w:tcW w:type="dxa" w:w="328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Golden histórico de retrieval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T01-T09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9/9 PASS</w:t>
            </w:r>
          </w:p>
        </w:tc>
      </w:tr>
      <w:tr>
        <w:tc>
          <w:tcPr>
            <w:tcW w:type="dxa" w:w="328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Intenções MVP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25 casos - 5 por processo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25/25 PASS</w:t>
            </w:r>
          </w:p>
        </w:tc>
      </w:tr>
      <w:tr>
        <w:tc>
          <w:tcPr>
            <w:tcW w:type="dxa" w:w="328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Cobertura do índice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3.224 versões / 19.314 chunks / 19.314 embeddings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Completa</w:t>
            </w:r>
          </w:p>
        </w:tc>
      </w:tr>
      <w:tr>
        <w:tc>
          <w:tcPr>
            <w:tcW w:type="dxa" w:w="328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Chunks sem embedding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0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OK</w:t>
            </w:r>
          </w:p>
        </w:tc>
      </w:tr>
    </w:tbl>
    <w:p>
      <w:r>
        <w:t>Os 25 casos MVP atuais validam principalmente ativação de conceitos e retorno de evidências. Ainda não constituem ground truth documental, porque não possuem assertions curadas de documentos esperados.</w:t>
      </w:r>
    </w:p>
    <w:p>
      <w:pPr>
        <w:pStyle w:val="Heading1"/>
      </w:pPr>
      <w:r>
        <w:t>3. Escopo da RQ-04C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Curar inicialmente os 25 casos já existentes no golden dataset do MVP.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Revisar os resultados top-N recuperados por consulta, preferencialmente top 10.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Classificar relevância documental com critérios simples e auditáveis.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Registrar documentos importantes que deveriam aparecer e não foram recuperados.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Transformar as decisões revisadas em assertions documentais versionadas.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Calcular métricas de retrieval com base na ground truth aprovada.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Somente depois avaliar ajustes mínimos de ranking, expansão ou vocabulário.</w:t>
      </w:r>
    </w:p>
    <w:p>
      <w:pPr>
        <w:pStyle w:val="Heading1"/>
      </w:pPr>
      <w:r>
        <w:t>4. Papéis previstos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vAlign w:val="center"/>
            <w:shd w:fill="1F4E78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9"/>
              </w:rPr>
              <w:t>Papel</w:t>
            </w:r>
          </w:p>
        </w:tc>
        <w:tc>
          <w:tcPr>
            <w:tcW w:type="dxa" w:w="3286"/>
            <w:vAlign w:val="center"/>
            <w:shd w:fill="1F4E78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9"/>
              </w:rPr>
              <w:t>Responsabilidade</w:t>
            </w:r>
          </w:p>
        </w:tc>
        <w:tc>
          <w:tcPr>
            <w:tcW w:type="dxa" w:w="3286"/>
            <w:vAlign w:val="center"/>
            <w:shd w:fill="1F4E78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9"/>
              </w:rPr>
              <w:t>Observação</w:t>
            </w:r>
          </w:p>
        </w:tc>
      </w:tr>
      <w:tr>
        <w:tc>
          <w:tcPr>
            <w:tcW w:type="dxa" w:w="328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Engenharia / InteliReg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Gerar candidatos, exportar contexto e incorporar golden cases.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Não decide relevância regulatória final.</w:t>
            </w:r>
          </w:p>
        </w:tc>
      </w:tr>
      <w:tr>
        <w:tc>
          <w:tcPr>
            <w:tcW w:type="dxa" w:w="328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Especialista regulatório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Classificar documentos e apontar ausências relevantes.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Responsável pelo julgamento de domínio.</w:t>
            </w:r>
          </w:p>
        </w:tc>
      </w:tr>
      <w:tr>
        <w:tc>
          <w:tcPr>
            <w:tcW w:type="dxa" w:w="328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Revisor regulatório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Revisar e aprovar divergências ou casos críticos.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Preferencial para P0 e ambiguidades.</w:t>
            </w:r>
          </w:p>
        </w:tc>
      </w:tr>
      <w:tr>
        <w:tc>
          <w:tcPr>
            <w:tcW w:type="dxa" w:w="328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Responsável técnico do produto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Homologar versão do benchmark e gates.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Controla mudança de baseline.</w:t>
            </w:r>
          </w:p>
        </w:tc>
      </w:tr>
    </w:tbl>
    <w:p>
      <w:r>
        <w:br w:type="page"/>
      </w:r>
    </w:p>
    <w:p>
      <w:pPr>
        <w:pStyle w:val="Heading1"/>
      </w:pPr>
      <w:r>
        <w:t>5. Sequência futura de execução</w:t>
      </w:r>
    </w:p>
    <w:p>
      <w:pPr>
        <w:pStyle w:val="Heading2"/>
      </w:pPr>
      <w:r>
        <w:t>5.1 Congelar a baseline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Registrar hash/versão do vocabulário, pipeline, modelo de embedding e estratégia de retrieval.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Executar novamente os goldens existentes para garantir que a curadoria começa sobre um estado conhecido.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Não alterar pesos ou embeddings durante a rodada de rotulagem.</w:t>
      </w:r>
    </w:p>
    <w:p>
      <w:pPr>
        <w:pStyle w:val="Heading2"/>
      </w:pPr>
      <w:r>
        <w:t>5.2 Gerar pacote de candidatos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Executar as 25 queries MVP contra a API.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Persistir top 10 por query com document_id, version_id, título, rank, scores, trecho e metadados de diagnóstico.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Preservar o texto da pergunta exatamente como testado.</w:t>
      </w:r>
    </w:p>
    <w:p>
      <w:pPr>
        <w:pStyle w:val="Heading2"/>
      </w:pPr>
      <w:r>
        <w:t>5.3 Rotular relevância documental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Cada resultado deve receber um rótulo: relevant, partially_relevant ou irrelevant.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O especialista deve poder registrar comentário curto quando a decisão não for óbvia.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Casos P0 ou divergentes devem ser encaminhados à segunda revisão.</w:t>
      </w:r>
    </w:p>
    <w:p>
      <w:pPr>
        <w:pStyle w:val="Heading2"/>
      </w:pPr>
      <w:r>
        <w:t>5.4 Registrar documentos ausentes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Quando uma norma/documento esperado não estiver no top 10, registrar missing_expected_document.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A ausência deve conter document_id ou identificador suficiente para localizar o documento no corpus.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Não inferir documento esperado apenas por similaridade ou pelo LLM; a indicação deve ser curada.</w:t>
      </w:r>
    </w:p>
    <w:p>
      <w:pPr>
        <w:pStyle w:val="Heading2"/>
      </w:pPr>
      <w:r>
        <w:t>5.5 Consolidar assertions documentais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Converter a curadoria aprovada em expected_documents no golden dataset.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Associar max_rank quando a posição for relevante para o caso.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Versionar as assertions e registrar autor/revisor/data da aprovação.</w:t>
      </w:r>
    </w:p>
    <w:p>
      <w:pPr>
        <w:pStyle w:val="Heading2"/>
      </w:pPr>
      <w:r>
        <w:t>5.6 Executar benchmark documental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Calcular Recall@3, Recall@5, MRR e nDCG quando houver labels graduados.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Medir também taxa de consultas com pelo menos um documento relevante no top 3 e top 5.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Separar resultados por processo regulatório e prioridade P0/P1.</w:t>
      </w:r>
    </w:p>
    <w:p>
      <w:pPr>
        <w:pStyle w:val="Heading2"/>
      </w:pPr>
      <w:r>
        <w:t>5.7 Analisar erros antes de tunar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Classificar falhas em: ausência no corpus, FTS, vetor, expansão semântica, identificador, reranking ou ambiguidade da pergunta.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Evitar ajuste global para corrigir um único caso quando o problema for de conteúdo ou curadoria.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Registrar cada mudança de ranking como experimento reproduzível.</w:t>
      </w:r>
    </w:p>
    <w:p>
      <w:pPr>
        <w:pStyle w:val="Heading2"/>
      </w:pPr>
      <w:r>
        <w:t>5.8 Aplicar apenas ajustes mínimos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Priorizar correções locais de alias, expansão ou regras determinísticas.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Preservar T01-T09 e os casos já aprovados como regressão obrigatória.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Novo modelo de embedding, cross-encoder ou mudança estrutural de ranking só devem ser considerados se a ground truth demonstrar necessidade.</w:t>
      </w:r>
    </w:p>
    <w:p>
      <w:pPr>
        <w:pStyle w:val="Heading1"/>
      </w:pPr>
      <w:r>
        <w:t>6. Protocolo de classificação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vAlign w:val="center"/>
            <w:shd w:fill="1F4E78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9"/>
              </w:rPr>
              <w:t>Rótulo</w:t>
            </w:r>
          </w:p>
        </w:tc>
        <w:tc>
          <w:tcPr>
            <w:tcW w:type="dxa" w:w="3286"/>
            <w:vAlign w:val="center"/>
            <w:shd w:fill="1F4E78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9"/>
              </w:rPr>
              <w:t>Uso</w:t>
            </w:r>
          </w:p>
        </w:tc>
        <w:tc>
          <w:tcPr>
            <w:tcW w:type="dxa" w:w="3286"/>
            <w:vAlign w:val="center"/>
            <w:shd w:fill="1F4E78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9"/>
              </w:rPr>
              <w:t>Interpretação operacional</w:t>
            </w:r>
          </w:p>
        </w:tc>
      </w:tr>
      <w:tr>
        <w:tc>
          <w:tcPr>
            <w:tcW w:type="dxa" w:w="328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relevant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Documento diretamente útil para responder à intenção.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Conta como evidência positiva.</w:t>
            </w:r>
          </w:p>
        </w:tc>
      </w:tr>
      <w:tr>
        <w:tc>
          <w:tcPr>
            <w:tcW w:type="dxa" w:w="328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partially_relevant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Documento relacionado, porém incompleto, secundário ou contextual.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Pode contribuir para nDCG, mas não substitui evidência principal.</w:t>
            </w:r>
          </w:p>
        </w:tc>
      </w:tr>
      <w:tr>
        <w:tc>
          <w:tcPr>
            <w:tcW w:type="dxa" w:w="328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irrelevant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Resultado não útil para a intenção avaliada.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Conta como ruído de ranking.</w:t>
            </w:r>
          </w:p>
        </w:tc>
      </w:tr>
      <w:tr>
        <w:tc>
          <w:tcPr>
            <w:tcW w:type="dxa" w:w="328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missing_expected_document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Documento relevante indicado pela curadoria e ausente do top-N.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Sinaliza problema de recall ou cobertura.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FF2CC"/>
          </w:tcPr>
          <w:p>
            <w:pPr>
              <w:spacing w:after="60"/>
            </w:pPr>
            <w:r>
              <w:rPr>
                <w:rFonts w:ascii="Arial" w:hAnsi="Arial"/>
                <w:b/>
                <w:sz w:val="21"/>
              </w:rPr>
              <w:t>Princípio de governança</w:t>
            </w:r>
          </w:p>
          <w:p>
            <w:pPr>
              <w:spacing w:after="0"/>
            </w:pPr>
            <w:r>
              <w:rPr>
                <w:rFonts w:ascii="Arial" w:hAnsi="Arial"/>
                <w:sz w:val="20"/>
              </w:rPr>
              <w:t>A classificação representa relevância para a consulta avaliada. Ela não deve ser usada como parecer sobre vigência, prevalência normativa ou interpretação jurídica/regulatória.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7. Estrutura sugerida do golden case</w:t>
      </w:r>
    </w:p>
    <w:p>
      <w:pPr>
        <w:ind w:left="283"/>
      </w:pPr>
      <w:r>
        <w:rPr>
          <w:rFonts w:ascii="Courier New" w:hAnsi="Courier New"/>
          <w:sz w:val="17"/>
        </w:rPr>
        <w:t>{</w:t>
        <w:br/>
        <w:t xml:space="preserve">  "id": "MVP-CBPF-01",</w:t>
        <w:br/>
        <w:t xml:space="preserve">  "query": "Quais normas tratam de certificação de boas práticas de fabricação?",</w:t>
        <w:br/>
        <w:t xml:space="preserve">  "expected_concepts": ["cbpf"],</w:t>
        <w:br/>
        <w:t xml:space="preserve">  "expected_documents": [</w:t>
        <w:br/>
        <w:t xml:space="preserve">    {</w:t>
        <w:br/>
        <w:t xml:space="preserve">      "document_id": "&lt;uuid&gt;",</w:t>
        <w:br/>
        <w:t xml:space="preserve">      "max_rank": 3,</w:t>
        <w:br/>
        <w:t xml:space="preserve">      "relevance": "relevant",</w:t>
        <w:br/>
        <w:t xml:space="preserve">      "review_status": "approved"</w:t>
        <w:br/>
        <w:t xml:space="preserve">    }</w:t>
        <w:br/>
        <w:t xml:space="preserve">  ],</w:t>
        <w:br/>
        <w:t xml:space="preserve">  "missing_expected_documents": [],</w:t>
        <w:br/>
        <w:t xml:space="preserve">  "curation": {</w:t>
        <w:br/>
        <w:t xml:space="preserve">    "reviewed_by": "&lt;papel-ou-identificador&gt;",</w:t>
        <w:br/>
        <w:t xml:space="preserve">    "reviewed_at": "&lt;timestamp&gt;",</w:t>
        <w:br/>
        <w:t xml:space="preserve">    "version": "1"</w:t>
        <w:br/>
        <w:t xml:space="preserve">  }</w:t>
        <w:br/>
        <w:t>}</w:t>
      </w:r>
    </w:p>
    <w:p>
      <w:pPr>
        <w:pStyle w:val="Heading1"/>
      </w:pPr>
      <w:r>
        <w:t>8. Métricas previstas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vAlign w:val="center"/>
            <w:shd w:fill="1F4E78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9"/>
              </w:rPr>
              <w:t>Métrica</w:t>
            </w:r>
          </w:p>
        </w:tc>
        <w:tc>
          <w:tcPr>
            <w:tcW w:type="dxa" w:w="3286"/>
            <w:vAlign w:val="center"/>
            <w:shd w:fill="1F4E78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9"/>
              </w:rPr>
              <w:t>Objetivo</w:t>
            </w:r>
          </w:p>
        </w:tc>
        <w:tc>
          <w:tcPr>
            <w:tcW w:type="dxa" w:w="3286"/>
            <w:vAlign w:val="center"/>
            <w:shd w:fill="1F4E78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9"/>
              </w:rPr>
              <w:t>Uso</w:t>
            </w:r>
          </w:p>
        </w:tc>
      </w:tr>
      <w:tr>
        <w:tc>
          <w:tcPr>
            <w:tcW w:type="dxa" w:w="328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Recall@3 / Recall@5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Verificar se documentos esperados aparecem cedo.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Principal indicador de cobertura.</w:t>
            </w:r>
          </w:p>
        </w:tc>
      </w:tr>
      <w:tr>
        <w:tc>
          <w:tcPr>
            <w:tcW w:type="dxa" w:w="328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MRR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Medir a posição do primeiro documento relevante.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Sensível ao ranking inicial.</w:t>
            </w:r>
          </w:p>
        </w:tc>
      </w:tr>
      <w:tr>
        <w:tc>
          <w:tcPr>
            <w:tcW w:type="dxa" w:w="328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nDCG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Considerar relevância graduada.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Útil quando houver relevant/partially_relevant.</w:t>
            </w:r>
          </w:p>
        </w:tc>
      </w:tr>
      <w:tr>
        <w:tc>
          <w:tcPr>
            <w:tcW w:type="dxa" w:w="328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Hit rate top 3 / top 5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Percentual de queries com pelo menos um relevante.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Indicador simples para acompanhamento.</w:t>
            </w:r>
          </w:p>
        </w:tc>
      </w:tr>
      <w:tr>
        <w:tc>
          <w:tcPr>
            <w:tcW w:type="dxa" w:w="328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Zero-result / zero-relevant rate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Identificar falhas críticas.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Deve ser acompanhado por processo.</w:t>
            </w:r>
          </w:p>
        </w:tc>
      </w:tr>
    </w:tbl>
    <w:p>
      <w:r>
        <w:t>Os thresholds quantitativos devem ser homologados após a primeira rodada de curadoria. Como referência técnica inicial, pode-se adotar como meta que todas as intenções P0 apresentem pelo menos um documento relevante no top 5, mas isso ainda não é um critério formal aprovado.</w:t>
      </w:r>
    </w:p>
    <w:p>
      <w:pPr>
        <w:pStyle w:val="Heading1"/>
      </w:pPr>
      <w:r>
        <w:t>9. Critérios de encerramento da RQ-04C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25 casos MVP revisados por especialista regulatório.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Assertions documentais aprovadas e versionadas.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Documentos ausentes registrados quando aplicável.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Benchmark documental executável automaticamente.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Métricas segmentadas por processo disponíveis.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Falhas classificadas por causa técnica ou de conteúdo.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Baseline atual preservada em regressão antes de qualquer tuning.</w:t>
      </w:r>
    </w:p>
    <w:p>
      <w:pPr>
        <w:pStyle w:val="Heading1"/>
        <w:pageBreakBefore/>
      </w:pPr>
      <w:r>
        <w:t>10. Sequência após a RQ-04C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shd w:fill="F2F2F2"/>
          </w:tcPr>
          <w:p>
            <w:r/>
            <w:r>
              <w:rPr>
                <w:rFonts w:ascii="Arial" w:hAnsi="Arial"/>
                <w:b/>
                <w:sz w:val="19"/>
              </w:rPr>
              <w:t>RQ-04C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Curadoria documental dos 25 casos e benchmark de relevância.</w:t>
            </w:r>
          </w:p>
        </w:tc>
      </w:tr>
      <w:tr>
        <w:tc>
          <w:tcPr>
            <w:tcW w:type="dxa" w:w="4929"/>
            <w:vAlign w:val="center"/>
            <w:shd w:fill="F2F2F2"/>
          </w:tcPr>
          <w:p>
            <w:r/>
            <w:r>
              <w:rPr>
                <w:rFonts w:ascii="Arial" w:hAnsi="Arial"/>
                <w:b/>
                <w:sz w:val="19"/>
              </w:rPr>
              <w:t>Ajustes mínimos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Correções orientadas pelos erros observados, mantendo regressões.</w:t>
            </w:r>
          </w:p>
        </w:tc>
      </w:tr>
      <w:tr>
        <w:tc>
          <w:tcPr>
            <w:tcW w:type="dxa" w:w="4929"/>
            <w:vAlign w:val="center"/>
            <w:shd w:fill="F2F2F2"/>
          </w:tcPr>
          <w:p>
            <w:r/>
            <w:r>
              <w:rPr>
                <w:rFonts w:ascii="Arial" w:hAnsi="Arial"/>
                <w:b/>
                <w:sz w:val="19"/>
              </w:rPr>
              <w:t>RQ-04D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Piloto de situação normativa e relações com conjunto pequeno de atos curados.</w:t>
            </w:r>
          </w:p>
        </w:tc>
      </w:tr>
      <w:tr>
        <w:tc>
          <w:tcPr>
            <w:tcW w:type="dxa" w:w="4929"/>
            <w:vAlign w:val="center"/>
            <w:shd w:fill="F2F2F2"/>
          </w:tcPr>
          <w:p>
            <w:r/>
            <w:r>
              <w:rPr>
                <w:rFonts w:ascii="Arial" w:hAnsi="Arial"/>
                <w:b/>
                <w:sz w:val="19"/>
              </w:rPr>
              <w:t>RQ-05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Entrega de regulatory_context ao LLM e tratamento explícito de status unknown.</w:t>
            </w:r>
          </w:p>
        </w:tc>
      </w:tr>
      <w:tr>
        <w:tc>
          <w:tcPr>
            <w:tcW w:type="dxa" w:w="4929"/>
            <w:vAlign w:val="center"/>
            <w:shd w:fill="F2F2F2"/>
          </w:tcPr>
          <w:p>
            <w:r/>
            <w:r>
              <w:rPr>
                <w:rFonts w:ascii="Arial" w:hAnsi="Arial"/>
                <w:b/>
                <w:sz w:val="19"/>
              </w:rPr>
              <w:t>Expansão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Ampliação progressiva do golden dataset e do vocabulário aprovado.</w:t>
            </w:r>
          </w:p>
        </w:tc>
      </w:tr>
    </w:tbl>
    <w:p>
      <w:pPr>
        <w:pStyle w:val="Heading1"/>
      </w:pPr>
      <w:r>
        <w:t>11. Handoff para a fase de produção</w:t>
      </w:r>
    </w:p>
    <w:p>
      <w:r>
        <w:t>Com a RQ-04C documentada e adiada, a próxima fase do projeto deve priorizar alterações pequenas, reversíveis e operacionais para colocar o MVP em produção sem reabrir o núcleo de retrieval.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Congelar mvp-v2-semantic-v2 como baseline de produção, salvo correção de defeito comprovado.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Separar configuração de desenvolvimento/homologação/produção e revisar secrets.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Definir processo de execução e supervisão da API e dos workers.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Validar reverse proxy/TLS, políticas de acesso, CORS e limites de exposição da API.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Garantir logs, rotação, métricas e alertas mínimos para health/readiness, filas e erros.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Definir backup/restore do PostgreSQL e rotina de verificação.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Preparar procedimento de deploy, migration, rollback e smoke test pós-deploy.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Executar testes de carga básicos e revisar timeouts/limites de recursos.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Manter saídas de IA como apoio sujeito a revisão humana, especialmente em análises regulatórias de maior impacto.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E2F0D9"/>
          </w:tcPr>
          <w:p>
            <w:pPr>
              <w:spacing w:after="60"/>
            </w:pPr>
            <w:r>
              <w:rPr>
                <w:rFonts w:ascii="Arial" w:hAnsi="Arial"/>
                <w:b/>
                <w:sz w:val="21"/>
              </w:rPr>
              <w:t>Próxima tranche recomendada</w:t>
            </w:r>
          </w:p>
          <w:p>
            <w:pPr>
              <w:spacing w:after="0"/>
            </w:pPr>
            <w:r>
              <w:rPr>
                <w:rFonts w:ascii="Arial" w:hAnsi="Arial"/>
                <w:sz w:val="20"/>
              </w:rPr>
              <w:t>PROD-READY-01 - Checklist e hardening operacional do rag-service, em mudanças pequenas e verificáveis, sem alterar a lógica de ranking já estabilizada.</w:t>
            </w:r>
          </w:p>
        </w:tc>
      </w:tr>
    </w:tbl>
    <w:p>
      <w:pPr>
        <w:spacing w:after="0"/>
      </w:pPr>
    </w:p>
    <w:p>
      <w:pPr>
        <w:pStyle w:val="Heading1"/>
      </w:pPr>
      <w:r>
        <w:t>12. Observações de governança</w:t>
      </w:r>
    </w:p>
    <w:p>
      <w:r>
        <w:t>Este plano é um artefato técnico de produto. A curadoria futura deverá ser conduzida por especialistas, e qualquer informação sobre vigência, revogação, obrigação ou aplicabilidade normativa deve ser conferida nas fontes oficiais e registrada com proveniência. O LLM pode auxiliar na triagem e sumarização, mas não deve ser a autoridade final para aprovação da ground truth regulatória.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E6E6E"/>
        <w:sz w:val="16"/>
      </w:rPr>
      <w:t>Documento interno - RQ-04C - v1.0 - 21/08/2026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6464"/>
        <w:sz w:val="16"/>
      </w:rPr>
      <w:t>InteliReg | Arquitetura &amp; Requisitos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