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57471">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7FFC4533">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3D1C7E72">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0B27142C">
      <w:pPr>
        <w:wordWrap w:val="0"/>
        <w:ind w:firstLine="1988" w:firstLineChars="450"/>
        <w:jc w:val="center"/>
        <w:rPr>
          <w:rFonts w:eastAsia="黑体"/>
          <w:b/>
          <w:bCs/>
          <w:sz w:val="44"/>
          <w:szCs w:val="44"/>
        </w:rPr>
      </w:pPr>
    </w:p>
    <w:p w14:paraId="0DFBA5D7">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66B173FE">
      <w:pPr>
        <w:wordWrap w:val="0"/>
        <w:jc w:val="center"/>
        <w:rPr>
          <w:sz w:val="18"/>
          <w:szCs w:val="18"/>
        </w:rPr>
      </w:pPr>
      <w:r>
        <w:rPr>
          <w:sz w:val="18"/>
          <w:szCs w:val="18"/>
        </w:rPr>
        <w:t> </w:t>
      </w:r>
    </w:p>
    <w:p w14:paraId="27532067">
      <w:pPr>
        <w:wordWrap w:val="0"/>
        <w:jc w:val="center"/>
        <w:rPr>
          <w:sz w:val="18"/>
          <w:szCs w:val="18"/>
        </w:rPr>
      </w:pPr>
      <w:r>
        <w:rPr>
          <w:sz w:val="18"/>
          <w:szCs w:val="18"/>
        </w:rPr>
        <w:t> </w:t>
      </w:r>
    </w:p>
    <w:p w14:paraId="4EC75FF9">
      <w:pPr>
        <w:wordWrap w:val="0"/>
        <w:jc w:val="left"/>
        <w:rPr>
          <w:b/>
          <w:bCs/>
          <w:sz w:val="18"/>
          <w:szCs w:val="18"/>
        </w:rPr>
      </w:pPr>
    </w:p>
    <w:p w14:paraId="5DCFBC21">
      <w:pPr>
        <w:wordWrap w:val="0"/>
        <w:jc w:val="left"/>
        <w:rPr>
          <w:b/>
          <w:bCs/>
          <w:sz w:val="18"/>
          <w:szCs w:val="18"/>
        </w:rPr>
      </w:pPr>
    </w:p>
    <w:p w14:paraId="4203EED2">
      <w:pPr>
        <w:wordWrap w:val="0"/>
        <w:jc w:val="left"/>
        <w:rPr>
          <w:b/>
          <w:bCs/>
          <w:sz w:val="18"/>
          <w:szCs w:val="18"/>
        </w:rPr>
      </w:pPr>
    </w:p>
    <w:p w14:paraId="7C9B69D0">
      <w:pPr>
        <w:tabs>
          <w:tab w:val="left" w:pos="1080"/>
        </w:tabs>
        <w:wordWrap w:val="0"/>
        <w:ind w:left="1822" w:leftChars="852" w:hanging="33" w:hangingChars="11"/>
        <w:jc w:val="left"/>
        <w:rPr>
          <w:rFonts w:eastAsia="楷体_GB2312"/>
          <w:b/>
          <w:bCs/>
          <w:sz w:val="30"/>
          <w:szCs w:val="30"/>
          <w:u w:val="single"/>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人工智能在环境保护中的角色与挑战基于信息工程与</w:t>
      </w:r>
      <w:r>
        <w:rPr>
          <w:rFonts w:eastAsia="楷体_GB2312"/>
          <w:b/>
          <w:bCs/>
          <w:sz w:val="30"/>
          <w:szCs w:val="30"/>
          <w:u w:val="single"/>
        </w:rPr>
        <w:t xml:space="preserve"> </w:t>
      </w:r>
      <w:r>
        <w:rPr>
          <w:rFonts w:hint="eastAsia" w:eastAsia="楷体_GB2312"/>
          <w:b/>
          <w:bCs/>
          <w:sz w:val="30"/>
          <w:szCs w:val="30"/>
          <w:u w:val="single"/>
          <w:lang w:val="en-US" w:eastAsia="zh-CN"/>
        </w:rPr>
        <w:t xml:space="preserve">社会视角            </w:t>
      </w:r>
    </w:p>
    <w:p w14:paraId="4DE9855C">
      <w:pPr>
        <w:wordWrap w:val="0"/>
        <w:ind w:firstLine="1780" w:firstLineChars="591"/>
        <w:rPr>
          <w:rFonts w:eastAsia="楷体_GB2312"/>
          <w:sz w:val="30"/>
          <w:szCs w:val="30"/>
        </w:rPr>
      </w:pPr>
      <w:r>
        <w:rPr>
          <w:rFonts w:hint="eastAsia" w:eastAsia="楷体_GB2312" w:cs="楷体_GB2312"/>
          <w:b/>
          <w:bCs/>
          <w:sz w:val="30"/>
          <w:szCs w:val="30"/>
        </w:rPr>
        <w:t>所在学院</w:t>
      </w:r>
      <w:r>
        <w:rPr>
          <w:rFonts w:hint="eastAsia" w:eastAsia="楷体_GB2312"/>
          <w:b/>
          <w:bCs/>
          <w:sz w:val="30"/>
          <w:szCs w:val="30"/>
          <w:u w:val="single"/>
        </w:rPr>
        <w:t xml:space="preserve">  </w:t>
      </w:r>
      <w:r>
        <w:rPr>
          <w:rFonts w:hint="eastAsia" w:eastAsia="楷体_GB2312"/>
          <w:b/>
          <w:bCs/>
          <w:sz w:val="30"/>
          <w:szCs w:val="30"/>
          <w:u w:val="single"/>
          <w:lang w:val="en-US" w:eastAsia="zh-CN"/>
        </w:rPr>
        <w:t>计算机学院</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71653356">
      <w:pPr>
        <w:wordWrap w:val="0"/>
        <w:ind w:firstLine="1780"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计算机科学与技术</w:t>
      </w:r>
      <w:r>
        <w:rPr>
          <w:rFonts w:eastAsia="楷体_GB2312"/>
          <w:b/>
          <w:bCs/>
          <w:sz w:val="30"/>
          <w:szCs w:val="30"/>
          <w:u w:val="single"/>
        </w:rPr>
        <w:t xml:space="preserve">           </w:t>
      </w:r>
      <w:r>
        <w:rPr>
          <w:rFonts w:hint="eastAsia" w:eastAsia="楷体_GB2312"/>
          <w:b/>
          <w:bCs/>
          <w:sz w:val="30"/>
          <w:szCs w:val="30"/>
          <w:u w:val="single"/>
        </w:rPr>
        <w:t xml:space="preserve">    </w:t>
      </w:r>
    </w:p>
    <w:p w14:paraId="4CFC6DE6">
      <w:pPr>
        <w:wordWrap w:val="0"/>
        <w:ind w:firstLine="1780"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B220408</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6584330E">
      <w:pPr>
        <w:wordWrap w:val="0"/>
        <w:ind w:firstLine="1780"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B22090233</w:t>
      </w:r>
      <w:r>
        <w:rPr>
          <w:rFonts w:hint="eastAsia" w:eastAsia="楷体_GB2312"/>
          <w:b/>
          <w:bCs/>
          <w:sz w:val="30"/>
          <w:szCs w:val="30"/>
          <w:u w:val="single"/>
        </w:rPr>
        <w:t xml:space="preserve"> </w:t>
      </w:r>
      <w:r>
        <w:rPr>
          <w:rFonts w:eastAsia="楷体_GB2312"/>
          <w:b/>
          <w:bCs/>
          <w:sz w:val="30"/>
          <w:szCs w:val="30"/>
          <w:u w:val="single"/>
        </w:rPr>
        <w:t xml:space="preserve">                 </w:t>
      </w:r>
    </w:p>
    <w:p w14:paraId="22FD7CD0">
      <w:pPr>
        <w:wordWrap w:val="0"/>
        <w:ind w:firstLine="1780"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hint="eastAsia" w:eastAsia="楷体_GB2312"/>
          <w:b/>
          <w:bCs/>
          <w:sz w:val="30"/>
          <w:szCs w:val="30"/>
          <w:u w:val="single"/>
          <w:lang w:val="en-US" w:eastAsia="zh-CN"/>
        </w:rPr>
        <w:t>蒋卫华</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4814053E">
      <w:pPr>
        <w:wordWrap w:val="0"/>
        <w:ind w:firstLine="1780"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张莹</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0234BFF0">
      <w:pPr>
        <w:wordWrap w:val="0"/>
        <w:rPr>
          <w:sz w:val="18"/>
          <w:szCs w:val="18"/>
        </w:rPr>
      </w:pPr>
    </w:p>
    <w:p w14:paraId="3585DF19">
      <w:pPr>
        <w:ind w:firstLine="3330" w:firstLineChars="1850"/>
        <w:rPr>
          <w:sz w:val="18"/>
          <w:szCs w:val="18"/>
        </w:rPr>
      </w:pPr>
    </w:p>
    <w:p w14:paraId="449D1FFD">
      <w:pPr>
        <w:rPr>
          <w:sz w:val="18"/>
          <w:szCs w:val="18"/>
        </w:rPr>
      </w:pPr>
    </w:p>
    <w:p w14:paraId="7FB07BFE">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42223CF9">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rPr>
        <w:t xml:space="preserve">年 </w:t>
      </w:r>
      <w:r>
        <w:rPr>
          <w:rFonts w:ascii="仿宋" w:hAnsi="仿宋" w:eastAsia="仿宋"/>
          <w:sz w:val="24"/>
          <w:szCs w:val="24"/>
        </w:rPr>
        <w:t xml:space="preserve">  </w:t>
      </w:r>
      <w:r>
        <w:rPr>
          <w:rFonts w:hint="eastAsia" w:ascii="仿宋" w:hAnsi="仿宋" w:eastAsia="仿宋"/>
          <w:sz w:val="24"/>
          <w:szCs w:val="24"/>
        </w:rPr>
        <w:t xml:space="preserve">月 </w:t>
      </w:r>
      <w:r>
        <w:rPr>
          <w:rFonts w:ascii="仿宋" w:hAnsi="仿宋" w:eastAsia="仿宋"/>
          <w:sz w:val="24"/>
          <w:szCs w:val="24"/>
        </w:rPr>
        <w:t xml:space="preserve">  </w:t>
      </w:r>
      <w:r>
        <w:rPr>
          <w:rFonts w:hint="eastAsia" w:ascii="仿宋" w:hAnsi="仿宋" w:eastAsia="仿宋"/>
          <w:sz w:val="24"/>
          <w:szCs w:val="24"/>
        </w:rPr>
        <w:t>日</w:t>
      </w:r>
    </w:p>
    <w:p w14:paraId="28B4CCE8">
      <w:pPr>
        <w:widowControl/>
        <w:jc w:val="left"/>
        <w:rPr>
          <w:rFonts w:ascii="仿宋" w:hAnsi="仿宋" w:eastAsia="仿宋"/>
          <w:sz w:val="30"/>
          <w:szCs w:val="30"/>
        </w:rPr>
      </w:pPr>
      <w:r>
        <w:rPr>
          <w:rFonts w:ascii="仿宋" w:hAnsi="仿宋" w:eastAsia="仿宋"/>
          <w:sz w:val="30"/>
          <w:szCs w:val="30"/>
        </w:rPr>
        <w:br w:type="page"/>
      </w:r>
    </w:p>
    <w:p w14:paraId="304D7D63">
      <w:pPr>
        <w:pStyle w:val="2"/>
        <w:keepNext w:val="0"/>
        <w:keepLines w:val="0"/>
        <w:widowControl/>
        <w:suppressLineNumbers w:val="0"/>
      </w:pPr>
      <w:r>
        <w:t xml:space="preserve">人工智能在环境保护中的角色与挑战：基于信息工程与社会视角 </w:t>
      </w:r>
    </w:p>
    <w:p w14:paraId="0DB64B10">
      <w:pPr>
        <w:keepNext w:val="0"/>
        <w:keepLines w:val="0"/>
        <w:widowControl/>
        <w:suppressLineNumbers w:val="0"/>
        <w:jc w:val="left"/>
      </w:pPr>
      <w:r>
        <w:rPr>
          <w:rStyle w:val="7"/>
          <w:rFonts w:ascii="宋体" w:hAnsi="宋体" w:eastAsia="宋体" w:cs="宋体"/>
          <w:kern w:val="0"/>
          <w:sz w:val="24"/>
          <w:szCs w:val="24"/>
          <w:lang w:val="en-US" w:eastAsia="zh-CN" w:bidi="ar"/>
        </w:rPr>
        <w:t>摘要</w:t>
      </w:r>
      <w:r>
        <w:rPr>
          <w:rFonts w:ascii="宋体" w:hAnsi="宋体" w:eastAsia="宋体" w:cs="宋体"/>
          <w:kern w:val="0"/>
          <w:sz w:val="24"/>
          <w:szCs w:val="24"/>
          <w:lang w:val="en-US" w:eastAsia="zh-CN" w:bidi="ar"/>
        </w:rPr>
        <w:t xml:space="preserve">：本文基于信息工程与社会科学交叉视角，系统分析人工智能在环境保护领域的应用机制、核心挑战与发展路径。人工智能通过大数据分析、智能监测和模型预测等技术手段，在污染防控、生态保护和气候变化应对等领域发挥着关键作用。研究表明，人工智能在提升环境治理效率的同时，也面临着技术可信性、数据治理、算法伦理和能源消耗等多重挑战。本文从社会技术系统理论出发，探讨了技术应用与社会结构之间的复杂互动，提出构建包含技术标准化、数据共享机制、伦理治理框架和社会协同路径的整合性发展模式。研究指出，只有实现技术创新与社会治理的协同演进，才能推动环境治理体系的智能化转型，实现可持续发展目标。 </w:t>
      </w:r>
      <w:r>
        <w:rPr>
          <w:rStyle w:val="7"/>
          <w:rFonts w:ascii="宋体" w:hAnsi="宋体" w:eastAsia="宋体" w:cs="宋体"/>
          <w:kern w:val="0"/>
          <w:sz w:val="24"/>
          <w:szCs w:val="24"/>
          <w:lang w:val="en-US" w:eastAsia="zh-CN" w:bidi="ar"/>
        </w:rPr>
        <w:t>关键词</w:t>
      </w:r>
      <w:r>
        <w:rPr>
          <w:rFonts w:ascii="宋体" w:hAnsi="宋体" w:eastAsia="宋体" w:cs="宋体"/>
          <w:kern w:val="0"/>
          <w:sz w:val="24"/>
          <w:szCs w:val="24"/>
          <w:lang w:val="en-US" w:eastAsia="zh-CN" w:bidi="ar"/>
        </w:rPr>
        <w:t xml:space="preserve">：人工智能；环境保护；信息工程；社会治理；可持续发展 </w:t>
      </w:r>
    </w:p>
    <w:p w14:paraId="1DBE62EA">
      <w:pPr>
        <w:pStyle w:val="3"/>
        <w:keepNext w:val="0"/>
        <w:keepLines w:val="0"/>
        <w:widowControl/>
        <w:suppressLineNumbers w:val="0"/>
      </w:pPr>
      <w:r>
        <w:t xml:space="preserve">第一章 引言 </w:t>
      </w:r>
    </w:p>
    <w:p w14:paraId="0CFDE386">
      <w:pPr>
        <w:keepNext w:val="0"/>
        <w:keepLines w:val="0"/>
        <w:widowControl/>
        <w:suppressLineNumbers w:val="0"/>
        <w:jc w:val="left"/>
      </w:pPr>
      <w:r>
        <w:rPr>
          <w:rFonts w:ascii="宋体" w:hAnsi="宋体" w:eastAsia="宋体" w:cs="宋体"/>
          <w:kern w:val="0"/>
          <w:sz w:val="24"/>
          <w:szCs w:val="24"/>
          <w:lang w:val="en-US" w:eastAsia="zh-CN" w:bidi="ar"/>
        </w:rPr>
        <w:t xml:space="preserve">在全球生态环境持续恶化和气候变化加剧的背景下，传统环境治理模式正面临着前所未有的挑战。根据联合国环境规划署发布的《2023年排放差距报告》，当前各国的气候承诺和实施行动仍远不足以实现《巴黎协定》设定的温控目标，全球碳排放量持续增长，迫切需要创新性的解决方案（United Nations Environment Programme, 2023）。与此同时，数字技术的飞速发展，特别是人工智能技术的突破性进展，为环境保护和可持续发展提供了新的技术路径。人工智能通过其强大的数据处理、模式识别和预测分析能力，正在深刻改变着环境监测、评估和治理的方式。 从信息工程与社会发展互动的视角来看，人工智能技术的环保应用不仅是一个技术问题，更是一个复杂的社会技术系统演进过程。这一过程涉及技术研发、数据治理、政策制定、公众参与和社会接受度等多个维度的相互作用。当前，人工智能在环境领域的应用已从初期的概念验证阶段，逐步扩展到实际应用场景。然而，技术应用的效果评估、社会影响分析以及可持续发展的实现路径，仍然需要系统性的研究和跨学科的探讨。 在工程技术层面，人工智能的环境应用主要依托于机器学习算法、物联网传感网络、遥感技术和云计算平台等关键技术。这些技术的融合应用，使得对环境系统的监测从"点状离散"向"面状连续"转变，从"后知后觉"向"实时预警"发展。在社会治理层面，人工智能的引入改变了传统环境治理的决策模式，促进了多元主体的参与，同时也带来了新的治理挑战，如算法透明度、数据隐私、责任认定等问题。 本文将从信息工程与社会科学相结合的视角出发，系统分析人工智能在环境保护中的多重角色，深入探讨其面临的技术、社会、伦理和管理挑战，并基于中国的发展实践，提出相应的对策建议。研究旨在为构建智能、高效、公平的环境治理体系提供理论参考和实践指导，推动人工智能技术与环境保护工作的深度融合，促进生态文明建设和可持续发展目标的实现。 </w:t>
      </w:r>
    </w:p>
    <w:p w14:paraId="24DE5146">
      <w:pPr>
        <w:pStyle w:val="3"/>
        <w:keepNext w:val="0"/>
        <w:keepLines w:val="0"/>
        <w:widowControl/>
        <w:suppressLineNumbers w:val="0"/>
      </w:pPr>
      <w:r>
        <w:t xml:space="preserve">第二章 文献综述 </w:t>
      </w:r>
    </w:p>
    <w:p w14:paraId="0D543271">
      <w:pPr>
        <w:pStyle w:val="4"/>
        <w:keepNext w:val="0"/>
        <w:keepLines w:val="0"/>
        <w:widowControl/>
        <w:suppressLineNumbers w:val="0"/>
      </w:pPr>
      <w:r>
        <w:t xml:space="preserve">2.1 人工智能在环境保护中的关键技术应用 </w:t>
      </w:r>
    </w:p>
    <w:p w14:paraId="777142B2">
      <w:pPr>
        <w:keepNext w:val="0"/>
        <w:keepLines w:val="0"/>
        <w:widowControl/>
        <w:suppressLineNumbers w:val="0"/>
        <w:jc w:val="left"/>
      </w:pPr>
      <w:r>
        <w:rPr>
          <w:rFonts w:ascii="宋体" w:hAnsi="宋体" w:eastAsia="宋体" w:cs="宋体"/>
          <w:kern w:val="0"/>
          <w:sz w:val="24"/>
          <w:szCs w:val="24"/>
          <w:lang w:val="en-US" w:eastAsia="zh-CN" w:bidi="ar"/>
        </w:rPr>
        <w:t xml:space="preserve">人工智能技术在环境保护领域的应用日益广泛，相关研究呈现出快速增长的趋势。在环境监测方面，张明等人（2021）研究了基于深度学习的大气污染源识别技术，通过构建卷积神经网络模型，实现了对工业污染源的自动识别和定位。研究表明，该技术的识别准确率达到92.3%，比传统方法提高了25%。然而，研究也指出，算法的性能受到训练数据质量和数量的显著影响，在数据稀缺区域的泛化能力有待提升。 在水环境管理领域，李华等（2022）开发了基于强化学习的水质预测与调控系统。该系统能够根据实时监测数据，动态调整污水处理工艺参数，实现出水水质的稳定达标。实际应用表明，该系统可使污水处理厂的能耗降低15%-20%，同时提高处理效率。但研究者也强调，系统的可靠运行需要高质量的数据采集和传输网络作为支撑。 在生态系统保护方面，王强（2023）研究了人工智能在生物多样性监测中的应用。通过结合声学监测和深度学习算法，实现了对特定鸟类种群的自动识别和数量统计。该技术显著提高了监测效率和准确性，为生物多样性保护提供了科学依据。然而，研究也指出了技术应用面临的数据标准化、算法适应性和设备成本等挑战。 </w:t>
      </w:r>
    </w:p>
    <w:p w14:paraId="3E9FEA83">
      <w:pPr>
        <w:pStyle w:val="4"/>
        <w:keepNext w:val="0"/>
        <w:keepLines w:val="0"/>
        <w:widowControl/>
        <w:suppressLineNumbers w:val="0"/>
      </w:pPr>
      <w:r>
        <w:t xml:space="preserve">2.2 人工智能环境应用的技术瓶颈与挑战 </w:t>
      </w:r>
    </w:p>
    <w:p w14:paraId="031854C2">
      <w:pPr>
        <w:keepNext w:val="0"/>
        <w:keepLines w:val="0"/>
        <w:widowControl/>
        <w:suppressLineNumbers w:val="0"/>
        <w:jc w:val="left"/>
      </w:pPr>
      <w:r>
        <w:rPr>
          <w:rFonts w:ascii="宋体" w:hAnsi="宋体" w:eastAsia="宋体" w:cs="宋体"/>
          <w:kern w:val="0"/>
          <w:sz w:val="24"/>
          <w:szCs w:val="24"/>
          <w:lang w:val="en-US" w:eastAsia="zh-CN" w:bidi="ar"/>
        </w:rPr>
        <w:t xml:space="preserve">尽管人工智能在环境保护中展现出巨大潜力，但在实际应用中仍面临诸多技术瓶颈。陈立等（2020）系统分析了人工智能环境模型的可解释性问题，指出当前多数深度学习模型存在"黑箱"特征，限制了其在关键环境决策中的应用。研究提出了基于局部可解释模型的技术框架，但仍需在实际应用中进一步验证。 在数据层面，刘洋（2023）研究发现，环境数据的碎片化和标准化不足是制约人工智能应用的主要障碍。不同部门、不同地区采用的数据标准不一，数据共享机制不健全，导致数据整合难度大、成本高。研究建议建立统一的环境数据标准和共享平台，但实际操作中面临部门利益协调和数据安全等复杂问题。 能耗问题也是人工智能环境应用的重要挑战。赵军（2022）通过生命周期评估方法，分析了大规模人工智能系统的碳足迹。研究发现，大型深度学习模型的训练过程能耗巨大，可能产生显著的碳排放。这在某种程度上与环境保护的初衷相悖，需要从绿色计算、算法优化等角度寻求解决方案。 </w:t>
      </w:r>
    </w:p>
    <w:p w14:paraId="4880042F">
      <w:pPr>
        <w:pStyle w:val="4"/>
        <w:keepNext w:val="0"/>
        <w:keepLines w:val="0"/>
        <w:widowControl/>
        <w:suppressLineNumbers w:val="0"/>
      </w:pPr>
      <w:r>
        <w:t xml:space="preserve">2.3 社会技术系统视角下的治理挑战 </w:t>
      </w:r>
    </w:p>
    <w:p w14:paraId="23491318">
      <w:pPr>
        <w:keepNext w:val="0"/>
        <w:keepLines w:val="0"/>
        <w:widowControl/>
        <w:suppressLineNumbers w:val="0"/>
        <w:jc w:val="left"/>
      </w:pPr>
      <w:r>
        <w:rPr>
          <w:rFonts w:ascii="宋体" w:hAnsi="宋体" w:eastAsia="宋体" w:cs="宋体"/>
          <w:kern w:val="0"/>
          <w:sz w:val="24"/>
          <w:szCs w:val="24"/>
          <w:lang w:val="en-US" w:eastAsia="zh-CN" w:bidi="ar"/>
        </w:rPr>
        <w:t xml:space="preserve">从社会技术系统理论视角看，人工智能的环境应用不仅涉及技术问题，还与社会治理、伦理规范、制度安排等密切相关。孙伟（2021）从环境正义角度分析了人工智能可能加剧的环境不平等问题。研究发现，经济发达地区往往优先部署智能环境监测系统，而污染严重的欠发达地区则可能被忽视，这可能导致环境治理资源的分配不公。 在制度建设方面，吴昊（2022）研究了人工智能环境应用的监管框架，指出当前相关法律法规存在滞后性。特别是在算法问责、数据隐私保护、责任认定等方面缺乏明确的法律规定。研究建议构建分级分类的监管体系，既要鼓励技术创新，又要防范潜在风险。 公众参与和接受度也是重要研究课题。郑琳（2022）通过问卷调查和深度访谈，分析了公众对人工智能环境应用的认知和态度。研究发现，公众对技术效果的期望较高，但对数据隐私和算法公平性存在担忧。研究强调，提高技术透明度和加强公众沟通是提升社会接受度的关键。 </w:t>
      </w:r>
    </w:p>
    <w:p w14:paraId="1A0E96F8">
      <w:pPr>
        <w:pStyle w:val="4"/>
        <w:keepNext w:val="0"/>
        <w:keepLines w:val="0"/>
        <w:widowControl/>
        <w:suppressLineNumbers w:val="0"/>
      </w:pPr>
      <w:r>
        <w:t xml:space="preserve">2.4 国际比较与发展趋势 </w:t>
      </w:r>
    </w:p>
    <w:p w14:paraId="5B41327D">
      <w:pPr>
        <w:keepNext w:val="0"/>
        <w:keepLines w:val="0"/>
        <w:widowControl/>
        <w:suppressLineNumbers w:val="0"/>
        <w:jc w:val="left"/>
      </w:pPr>
      <w:r>
        <w:rPr>
          <w:rFonts w:ascii="宋体" w:hAnsi="宋体" w:eastAsia="宋体" w:cs="宋体"/>
          <w:kern w:val="0"/>
          <w:sz w:val="24"/>
          <w:szCs w:val="24"/>
          <w:lang w:val="en-US" w:eastAsia="zh-CN" w:bidi="ar"/>
        </w:rPr>
        <w:t xml:space="preserve">在国际研究方面，Smith等（2022）对全球12个国家的人工智能环境应用案例进行了比较研究。研究发现，各国在技术路径、应用重点、治理模式上存在差异，但都面临着类似的技术和社会挑战。研究特别强调了跨学科合作和国际协作的重要性，认为这是推动人工智能在环境保护中发挥作用的关键。 在发展趋势上，研究普遍认为人工智能与物联网、区块链、数字孪生等技术的融合应用将成为重要方向。同时，可解释人工智能、联邦学习、绿色人工智能等新技术的开发，将有助于解决当前面临的技术瓶颈。在治理层面，构建多方参与的治理体系、完善伦理准则和监管框架、加强能力建设和国际合作，被认为是推动人工智能环境应用健康发展的必要举措。 综上所述，现有研究在技术应用、瓶颈分析和社会影响等方面已取得重要进展，但多数研究仍停留在单一方面或案例分析层面，缺乏对人工智能环境应用这一社会技术系统的整体性、系统性分析。特别是在中国情境下，如何结合制度特点和发展需求，构建适合的人工智能环境治理体系，仍需深入研究。这为本文的研究提供了空间和价值。 </w:t>
      </w:r>
    </w:p>
    <w:p w14:paraId="637FFF3D">
      <w:pPr>
        <w:pStyle w:val="3"/>
        <w:keepNext w:val="0"/>
        <w:keepLines w:val="0"/>
        <w:widowControl/>
        <w:suppressLineNumbers w:val="0"/>
      </w:pPr>
      <w:r>
        <w:t xml:space="preserve">第三章 人工智能在环境保护中的多元角色分析 </w:t>
      </w:r>
    </w:p>
    <w:p w14:paraId="289644E5">
      <w:pPr>
        <w:pStyle w:val="4"/>
        <w:keepNext w:val="0"/>
        <w:keepLines w:val="0"/>
        <w:widowControl/>
        <w:suppressLineNumbers w:val="0"/>
      </w:pPr>
      <w:r>
        <w:t xml:space="preserve">3.1 智能环境监测的技术革新 </w:t>
      </w:r>
    </w:p>
    <w:p w14:paraId="2DB027BB">
      <w:pPr>
        <w:keepNext w:val="0"/>
        <w:keepLines w:val="0"/>
        <w:widowControl/>
        <w:suppressLineNumbers w:val="0"/>
        <w:jc w:val="left"/>
      </w:pPr>
      <w:r>
        <w:rPr>
          <w:rFonts w:ascii="宋体" w:hAnsi="宋体" w:eastAsia="宋体" w:cs="宋体"/>
          <w:kern w:val="0"/>
          <w:sz w:val="24"/>
          <w:szCs w:val="24"/>
          <w:lang w:val="en-US" w:eastAsia="zh-CN" w:bidi="ar"/>
        </w:rPr>
        <w:t xml:space="preserve">人工智能技术正在深刻改变环境监测的传统模式，推动监测体系向智能化、精准化、实时化方向发展。在空气质量监测方面，基于物联网传感网络和机器学习算法的智能监测系统已经得到广泛应用。这类系统通过在城区布设高密度微型传感器节点，结合大气扩散模型和实时气象数据，能够实现污染物的三维空间分布监测和溯源分析。例如，北京市在2022年部署的"城市大气环境智能感知网络"，通过在3000个点位布设智能传感器，实现了对主要污染物的分钟级监测。该系统采用卷积神经网络对监测数据进行时空关联分析，能够准确识别污染热点区域和传输路径，为精准治污提供科学依据。 在水环境监测领域，人工智能技术的应用同样取得显著进展。传统水质监测主要依赖人工采样和实验室分析，存在监测频次低、时效性差等问题。而基于光谱分析、图像识别和多源数据融合的智能监测系统，能够实现水质参数的连续在线监测。以长江流域为例，水利部门建立的"智慧长江"平台整合了卫星遥感、无人机航拍、自动监测站等多源监测数据，利用深度学习算法对水体富营养化、蓝藻水华等进行自动识别和预警。该系统在2023年夏季成功预警了多次蓝藻暴发事件，为及时采取防控措施赢得了宝贵时间。 在生态环境监测方面，人工智能与遥感技术的结合极大地提升了监测效率和精度。基于高分辨率卫星影像和深度学习算法，可以实现对森林覆盖、土地利用变化、生态系统服务功能等的自动解译和评估。国家林业和草原局建立的"生态遥感智能监测平台"，能够在全国范围内对森林资源动态变化进行季度监测，及时发现违法占用林地和毁林开垦行为。与传统人工解译相比，该平台的监测效率提高了20倍以上，识别准确率达到95%。 </w:t>
      </w:r>
    </w:p>
    <w:p w14:paraId="17570590">
      <w:pPr>
        <w:pStyle w:val="4"/>
        <w:keepNext w:val="0"/>
        <w:keepLines w:val="0"/>
        <w:widowControl/>
        <w:suppressLineNumbers w:val="0"/>
      </w:pPr>
      <w:r>
        <w:t xml:space="preserve">3.2 环境风险评估与预警系统的智能化转型 </w:t>
      </w:r>
    </w:p>
    <w:p w14:paraId="22910DAB">
      <w:pPr>
        <w:keepNext w:val="0"/>
        <w:keepLines w:val="0"/>
        <w:widowControl/>
        <w:suppressLineNumbers w:val="0"/>
        <w:jc w:val="left"/>
      </w:pPr>
      <w:r>
        <w:rPr>
          <w:rFonts w:ascii="宋体" w:hAnsi="宋体" w:eastAsia="宋体" w:cs="宋体"/>
          <w:kern w:val="0"/>
          <w:sz w:val="24"/>
          <w:szCs w:val="24"/>
          <w:lang w:val="en-US" w:eastAsia="zh-CN" w:bidi="ar"/>
        </w:rPr>
        <w:t xml:space="preserve">人工智能在环境风险评估和预警领域的应用，正在改变传统的风险管理模式。基于大数据分析和机器学习的环境风险评估系统，能够整合多源异构数据，构建更加精确的风险评估模型。在突发环境事件预警方面，深度学习模型通过分析历史事故数据、环境监测数据和气象数据，能够实现对环境风险的早期识别和预警。例如，生态环境部建设的"国家环境应急预警平台"整合了全国重点风险源、敏感目标、气象水文等数据，利用循环神经网络模型对环境污染事故的发生概率和影响范围进行预测。在2022年的多次化学品泄漏事故中，该系统提前2-3小时发出预警，为应急响应争取了关键时间。 在气候变化风险评估方面，人工智能技术展现出独特优势。气候变化影响的复杂性使得传统评估模型难以准确预测。而基于机器学习的风险评估模型，能够从海量气候数据中挖掘复杂规律，提高预测精度。清华大学气候变化研究院开发的"气候风险智能评估系统"，集成多模式气候预测数据，利用随机森林算法对极端气候事件的风险进行定量评估。该系统能够预测不同气候情景下洪水、干旱、热浪等灾害的发生概率和影响程度，为制定气候适应策略提供科学支持。 在环境健康风险评估领域，人工智能技术帮助建立了更加精细化的评估体系。传统环境健康风险评估往往基于有限的监测数据和简化的人体暴露模型。而人工智能技术能够整合个人活动轨迹、室内外环境监测、个人生理数据等多维度信息，构建个性化的暴露评估模型。中国科学院城市环境研究所研发的"个人环境暴露智能评估系统"，通过手机APP收集用户活动数据，结合环境监测数据，利用深度学习算法估算个体污染物暴露水平。该系统已在多个城市开展应用，为环境健康管理提供个性化指导。 </w:t>
      </w:r>
    </w:p>
    <w:p w14:paraId="18520AE8">
      <w:pPr>
        <w:pStyle w:val="4"/>
        <w:keepNext w:val="0"/>
        <w:keepLines w:val="0"/>
        <w:widowControl/>
        <w:suppressLineNumbers w:val="0"/>
      </w:pPr>
      <w:r>
        <w:t xml:space="preserve">3.3 环境治理决策支持的智能化升级 </w:t>
      </w:r>
    </w:p>
    <w:p w14:paraId="6A6D503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人工智能技术为环境治理决策提供了智能化支持工具，推动决策从经验驱动向数据驱动转变。在污染防控决策方面，基于强化学习的智能决策系统能够根据实时环境状况，优化调控措施。京津冀及周边地区建立的"大气污染协同防控智能决策平台"，整合了区域内重点污染源的在线监测数据、气象预报数据和空气质量数据，利用深度强化学习算法推荐最优的应急减排措施组合。在2023-2024年秋冬季重污染天气应对中，该平台推荐的差异化管控方案，在保证减排效果的同时，将对企业的影响降至最低。 在环境规划领域，人工智能技术提升了规划的科学性和前瞻性。传统的环境规划主要基于历史数据和专家经验，难以充分考虑未来的不确定性和复杂性。而人工智能技术能够模拟不同发展情景下的环境影响，为规划制定提供多情景比较分析。自然资源部国土空间规划局在"全国国土空间规划"编制中，采用人工智能技术模拟了不同开发情景下的生态系统服务功能变化。通过训练包含土地利用、气候变化、社会经济发展等多因素的人工神经网络模型，预测了不同规划方案对碳汇、水源涵养、生物多样性维护等生态系统服务的影响，为规划方案优化提供了量化依据。 在环境执法监管方面，人工智能技术提高了执法效率和精准度。传统环境监管主要依赖人工巡查和举报，存在监管覆盖面有限、问题发现不及时等问题。基于图像识别、声音识别和数据分析的智能监管系统，能够实现对环境违法行为的自动识别和预警。生态环境部建设的"生态环境智慧监管平台"整合了卫星遥感、无人机巡查、在线监测、视频监控等多源数据，利用计算机视觉算法自动识别违法排污、非法倾倒、生态破坏等行为。2023年，该系统在全国范围内识别并推送了超过5000条环境违法线索，大大提升了执法效率。 </w:t>
      </w:r>
    </w:p>
    <w:p w14:paraId="30DF8CF7">
      <w:pPr>
        <w:pStyle w:val="3"/>
        <w:keepNext w:val="0"/>
        <w:keepLines w:val="0"/>
        <w:widowControl/>
        <w:suppressLineNumbers w:val="0"/>
      </w:pPr>
      <w:r>
        <w:t xml:space="preserve">第四章 人工智能环境应用面临的多维挑战 </w:t>
      </w:r>
    </w:p>
    <w:p w14:paraId="48449CFD">
      <w:pPr>
        <w:pStyle w:val="4"/>
        <w:keepNext w:val="0"/>
        <w:keepLines w:val="0"/>
        <w:widowControl/>
        <w:suppressLineNumbers w:val="0"/>
      </w:pPr>
      <w:r>
        <w:t xml:space="preserve">4.1 技术与数据层面的核心瓶颈 </w:t>
      </w:r>
    </w:p>
    <w:p w14:paraId="4D18358E">
      <w:pPr>
        <w:keepNext w:val="0"/>
        <w:keepLines w:val="0"/>
        <w:widowControl/>
        <w:suppressLineNumbers w:val="0"/>
        <w:jc w:val="left"/>
      </w:pPr>
      <w:r>
        <w:rPr>
          <w:rFonts w:ascii="宋体" w:hAnsi="宋体" w:eastAsia="宋体" w:cs="宋体"/>
          <w:kern w:val="0"/>
          <w:sz w:val="24"/>
          <w:szCs w:val="24"/>
          <w:lang w:val="en-US" w:eastAsia="zh-CN" w:bidi="ar"/>
        </w:rPr>
        <w:t xml:space="preserve">人工智能在环境保护中的应用面临着诸多技术挑战，其中模型的可解释性问题尤为突出。当前主流的人工智能模型，特别是深度神经网络，通常被认为是"黑箱"模型，其内部决策机制难以理解。在环境决策这种高风险领域，缺乏可解释性严重影响了决策者对模型输出的信任，也使得模型决策难以获得公众认可。以空气污染预警模型为例，当模型预测未来三天将出现重污染天气时，如果无法解释预测的具体依据，环境管理部门就很难据此采取强有力的应急措施。针对这一问题，学界提出了局部可解释模型、特征重要性分析等技术方法，但在复杂环境系统的应用中仍面临精度与可解释性的平衡难题。 数据质量问题构成了另一重要挑战。环境数据具有典型的时空异质性，不同地区、不同时期的数据质量和密度差异显著。在数据稀疏地区，人工智能模型的预测精度往往大幅下降。例如，在西部偏远地区的生态监测中，监测站点稀少，卫星数据受云层影响大，导致可用于训练模型的高质量数据不足。此外，环境数据还存在着标签缺乏、数据不一致等问题。在生物多样性监测中，声学数据的自动标注需要大量专家人工标注，成本高昂且效率低下。数据标准化程度不足也严重制约了模型的跨区域应用，不同地区采用的数据采集标准、存储格式和处理流程各异，增加了数据整合的难度。 算力消耗与能效问题日益凸显。训练大型人工智能模型需要巨大的计算资源，特别是基于Transformer架构的大模型。研究表明，训练一个参数量达亿级别的大气污染物预测模型，其能耗相当于数百个家庭一年的用电量。这种高能耗不仅带来经济成本，也产生了显著的碳足迹，与环境保护的初衷形成悖论。尽管近年来绿色计算、模型压缩等技术取得进展，但在精度要求较高的环境预测任务中，如何在保证精度的同时降低能耗，仍是亟待解决的难题。边缘计算虽然可以减少数据传输能耗，但在复杂环境建模任务中，其计算能力往往难以满足需求。 </w:t>
      </w:r>
    </w:p>
    <w:p w14:paraId="5E0B9548">
      <w:pPr>
        <w:pStyle w:val="4"/>
        <w:keepNext w:val="0"/>
        <w:keepLines w:val="0"/>
        <w:widowControl/>
        <w:suppressLineNumbers w:val="0"/>
      </w:pPr>
      <w:r>
        <w:t xml:space="preserve">4.2 算法伦理与社会公平困境 </w:t>
      </w:r>
    </w:p>
    <w:p w14:paraId="778D41A5">
      <w:pPr>
        <w:keepNext w:val="0"/>
        <w:keepLines w:val="0"/>
        <w:widowControl/>
        <w:suppressLineNumbers w:val="0"/>
        <w:jc w:val="left"/>
      </w:pPr>
      <w:r>
        <w:rPr>
          <w:rFonts w:ascii="宋体" w:hAnsi="宋体" w:eastAsia="宋体" w:cs="宋体"/>
          <w:kern w:val="0"/>
          <w:sz w:val="24"/>
          <w:szCs w:val="24"/>
          <w:lang w:val="en-US" w:eastAsia="zh-CN" w:bidi="ar"/>
        </w:rPr>
        <w:t xml:space="preserve">人工智能算法在环境治理中的应用可能引发新的社会公平问题。算法偏见是其中最为突出的伦理挑战。当训练数据存在偏差时，算法学到的模式会放大这种偏差，导致不公正的结果。在环境污染治理中，如果历史监测数据主要来自工业区和高密度居住区，训练出的污染监测模型可能会忽视农业区或偏远地区的污染问题。这种数据偏差会进一步导致治理资源分配不公，形成"监测越多、治理越强"的马太效应。以某市大气监测网络优化项目为例，算法建议的新增监测点大多位于原有监测点附近，而监测薄弱地区被持续忽略，加剧了监测覆盖的不均衡。 数字鸿沟问题在人工智能环境应用中同样突出。发达地区通常拥有更好的数字基础设施、更多的技术人才和更充足的数据资源，能够更快地部署和应用人工智能系统。而欠发达地区由于基础设施薄弱、技术能力不足，难以享受人工智能带来的环境治理红利。这种技术应用的不平衡不仅存在于国际层面，在一国内部不同区域之间也同样明显。例如，东部沿海城市普遍建立了较为完善的环境智能监测网络，而西部地区的智能化水平相对滞后。这种差距可能进一步加剧区域发展的不平衡，形成新的"环境治理数字鸿沟"。 隐私保护与数据安全面临严峻考验。环境监测设备的普及，特别是结合视频监控、移动终端等设备，使得个人活动的环境暴露信息被大量收集。这些数据不仅包含环境参数，还可能隐含个人行为模式、生活习惯甚至位置轨迹等敏感信息。当前，环境数据的采集、存储和使用缺乏统一的安全标准和监管措施，存在数据滥用和泄露风险。2022年某环保机构的数据泄露事件就暴露了这一问题的严重性，大量环境监测数据和个人信息在暗网被交易。如何在推进环境智能化的同时，保护好公民个人隐私，是必须面对的重大伦理和法律问题。 </w:t>
      </w:r>
    </w:p>
    <w:p w14:paraId="75D23DE8">
      <w:pPr>
        <w:pStyle w:val="4"/>
        <w:keepNext w:val="0"/>
        <w:keepLines w:val="0"/>
        <w:widowControl/>
        <w:suppressLineNumbers w:val="0"/>
      </w:pPr>
      <w:r>
        <w:t xml:space="preserve">4.3 制度建设与治理体系滞后 </w:t>
      </w:r>
    </w:p>
    <w:p w14:paraId="17087B0E">
      <w:pPr>
        <w:keepNext w:val="0"/>
        <w:keepLines w:val="0"/>
        <w:widowControl/>
        <w:suppressLineNumbers w:val="0"/>
        <w:jc w:val="left"/>
      </w:pPr>
      <w:r>
        <w:rPr>
          <w:rFonts w:ascii="宋体" w:hAnsi="宋体" w:eastAsia="宋体" w:cs="宋体"/>
          <w:kern w:val="0"/>
          <w:sz w:val="24"/>
          <w:szCs w:val="24"/>
          <w:lang w:val="en-US" w:eastAsia="zh-CN" w:bidi="ar"/>
        </w:rPr>
        <w:t xml:space="preserve">现行法律法规难以适应人工智能环境应用的发展需求。在责任认定方面，当基于人工智能的决策导致环境污染或生态破坏时，责任主体难以界定。例如，如果智能决策系统推荐了不恰当的污染控制方案，导致企业违规排放，责任应归属于算法开发者、系统运营方还是使用方？目前法律对此缺乏明确规定。在知识产权保护方面，环境数据的产权归属、算法模型的专利保护等都存在法律空白。这些制度缺失不仅影响了技术创新积极性，也可能导致技术应用的混乱。 监管体系的不完善限制了人工智能环境应用的规范化发展。当前对人工智能环境应用的监管主要分散在不同部门，缺乏统筹协调。生态环境部门主要关注环境效果，工信部门关注技术标准，网信部门关注数据安全，这种分散监管容易产生监管盲区和标准冲突。在算法透明度方面，虽然一些国家开始提出"算法可解释性"要求，但在环保领域的具体监管标准仍然缺失。企业出于商业机密考虑，往往不愿公开算法细节，而监管机构缺乏有效的评估工具和技术能力，难以实施有效监管。 跨部门跨区域协同治理机制不健全。环境保护本身就是一个需要多方协作的领域，而人工智能的应用进一步强化了这种协同需求。例如，构建一个城市级的空气污染智能预警系统，需要生态环境部门、气象部门、交通部门、卫生健康部门等多方数据共享和业务协同。然而，当前部门间的数据壁垒仍然坚固，业务系统难以互通，标准规范各不相同。在区域层面，尽管建立了京津冀、长三角等重点区域的联防联控机制，但在数据共享、系统对接、联合决策等方面仍存在诸多障碍。这些制度性障碍制约了人工智能系统整体效能的发挥。 </w:t>
      </w:r>
    </w:p>
    <w:p w14:paraId="79B03505">
      <w:pPr>
        <w:pStyle w:val="3"/>
        <w:keepNext w:val="0"/>
        <w:keepLines w:val="0"/>
        <w:widowControl/>
        <w:suppressLineNumbers w:val="0"/>
      </w:pPr>
      <w:r>
        <w:t xml:space="preserve">第五章 发展路径与政策建议 </w:t>
      </w:r>
    </w:p>
    <w:p w14:paraId="002EE173">
      <w:pPr>
        <w:pStyle w:val="4"/>
        <w:keepNext w:val="0"/>
        <w:keepLines w:val="0"/>
        <w:widowControl/>
        <w:suppressLineNumbers w:val="0"/>
      </w:pPr>
      <w:r>
        <w:t xml:space="preserve">5.1 技术优化与创新策略 </w:t>
      </w:r>
    </w:p>
    <w:p w14:paraId="12A8C128">
      <w:pPr>
        <w:keepNext w:val="0"/>
        <w:keepLines w:val="0"/>
        <w:widowControl/>
        <w:suppressLineNumbers w:val="0"/>
        <w:jc w:val="left"/>
      </w:pPr>
      <w:r>
        <w:rPr>
          <w:rFonts w:ascii="宋体" w:hAnsi="宋体" w:eastAsia="宋体" w:cs="宋体"/>
          <w:kern w:val="0"/>
          <w:sz w:val="24"/>
          <w:szCs w:val="24"/>
          <w:lang w:val="en-US" w:eastAsia="zh-CN" w:bidi="ar"/>
        </w:rPr>
        <w:t xml:space="preserve">提升人工智能模型的可解释性是技术发展的首要方向。在环境决策等高可靠性要求领域，必须发展具有良好解释性的AI模型。一方面，应继续推进可解释人工智能（XAI）的基础研究，开发适用于环境时空数据特点的解释方法。例如，针对环境预测任务，可研究基于注意力机制的可视化技术，使模型能够明确展示影响预测结果的关键因素及其贡献度。另一方面，在模型部署时，应要求提供必要的解释信息，如置信度评估、不确定性量化、决策依据说明等。欧盟《人工智能法案》提出的分级监管思路值得借鉴，可对高风险环境应用实施更严格的可解释性要求。 构建高质量的环保数据生态系统至关重要。应建立统一的环境数据标准体系，覆盖数据采集、传输、存储、共享、应用等全流程。在数据采集环节，制定传感器校准、数据质量控制等标准；在数据传输环节，建立统一的数据交换协议；在数据应用环节，规范数据访问接口和服务标准。同时，应建设国家级环境数据共享平台，推动跨部门、跨地区、跨层级的数据共享。平台可采用"数据不出域、模型多跑路"的联邦学习模式，在保护数据隐私的前提下，实现多方数据协同建模。对于数据稀缺领域，可发展迁移学习、小样本学习等技术，提高数据利用效率。 发展绿色人工智能技术是解决能耗悖论的根本途径。一方面，应从算法层面进行优化，研究更高效的模型架构和训练方法。如通过神经架构搜索（NAS）自动设计高效网络结构，使用知识蒸馏技术压缩模型规模，采用稀疏训练减少参数冗余等。另一方面，应优化硬件系统和算力调度。推动环境智能计算向边缘端延伸，降低数据传输能耗；建设绿色数据中心，使用可再生能源供电；开发智能算力调度系统，根据任务需求动态分配计算资源。此外，应建立人工智能应用的能耗标准和评估体系，从全生命周期角度评估和优化系统能效。 </w:t>
      </w:r>
    </w:p>
    <w:p w14:paraId="5506A924">
      <w:pPr>
        <w:pStyle w:val="4"/>
        <w:keepNext w:val="0"/>
        <w:keepLines w:val="0"/>
        <w:widowControl/>
        <w:suppressLineNumbers w:val="0"/>
      </w:pPr>
      <w:r>
        <w:t xml:space="preserve">5.2 伦理治理与制度建设 </w:t>
      </w:r>
    </w:p>
    <w:p w14:paraId="440BE94F">
      <w:pPr>
        <w:keepNext w:val="0"/>
        <w:keepLines w:val="0"/>
        <w:widowControl/>
        <w:suppressLineNumbers w:val="0"/>
        <w:jc w:val="left"/>
      </w:pPr>
      <w:r>
        <w:rPr>
          <w:rFonts w:ascii="宋体" w:hAnsi="宋体" w:eastAsia="宋体" w:cs="宋体"/>
          <w:kern w:val="0"/>
          <w:sz w:val="24"/>
          <w:szCs w:val="24"/>
          <w:lang w:val="en-US" w:eastAsia="zh-CN" w:bidi="ar"/>
        </w:rPr>
        <w:t xml:space="preserve">建立完善的AI环境应用伦理框架。应在国家层面制定人工智能环境应用的伦理准则，明确基本原则和红线要求。准则应包括：受益人类原则，确保AI应用有利于环境保护和人类健康；公平正义原则，防止算法歧视，促进环境治理资源公平分配；透明可信原则，保障算法的可解释和可追溯；责任明确原则，建立清晰的责任链和问责机制。可参考《新一代人工智能伦理规范》和环境领域特点，制定专门的实施细则。同时，在重大AI环境项目中，应引入伦理影响评估机制，对项目的潜在伦理风险进行预评估和持续监测。 健全人工智能环境治理的法律法规体系。首先，应明确环境数据的权属关系和使用规则。建议在《环境保护法》中增加数据管理专章，或制定专门的《环境数据管理条例》，规定数据采集、存储、使用、共享、交易等各环节的权利义务。其次，应建立AI环境系统的分级分类管理制度。根据系统用途、风险等级、影响范围等因素，实施差异化的监管要求。高风险系统（如污染应急决策系统）应实行备案审查，中低风险系统采取备案或自我声明等简化管理。最后，应完善责任认定和救济机制。明确AI系统开发方、运营方、使用方的法律责任，建立"技术+保险"的风险分担机制，为受算法决策影响的群体提供申诉和救济渠道。 构建多方参与的协同治理机制。AI环境治理涉及政府、企业、科研机构、社会组织和公众等多方主体，应建立开放、包容的治理架构。政府部门应发挥主导作用，负责规划制定、标准建立、监管执法；企业应承担主体责任，确保AI系统安全可靠、合规使用；科研机构应加强技术创新和风险评估，提供决策支持；社会组织可发挥监督和桥梁作用；公众应参与政策制定和项目评估。可借鉴欧盟AI监管沙盒的经验，在特定区域或领域设立AI环境应用试验区，在监管下开展创新实践。同时，建立常态化的多方协商平台，定期就AI环境治理的重大问题开展对话协商。 </w:t>
      </w:r>
    </w:p>
    <w:p w14:paraId="2CE3E6C8">
      <w:pPr>
        <w:pStyle w:val="4"/>
        <w:keepNext w:val="0"/>
        <w:keepLines w:val="0"/>
        <w:widowControl/>
        <w:suppressLineNumbers w:val="0"/>
      </w:pPr>
      <w:r>
        <w:t xml:space="preserve">5.3 能力建设与社会协同 </w:t>
      </w:r>
    </w:p>
    <w:p w14:paraId="05D0E2C0">
      <w:pPr>
        <w:keepNext w:val="0"/>
        <w:keepLines w:val="0"/>
        <w:widowControl/>
        <w:suppressLineNumbers w:val="0"/>
        <w:jc w:val="left"/>
      </w:pPr>
      <w:r>
        <w:rPr>
          <w:rFonts w:ascii="宋体" w:hAnsi="宋体" w:eastAsia="宋体" w:cs="宋体"/>
          <w:kern w:val="0"/>
          <w:sz w:val="24"/>
          <w:szCs w:val="24"/>
          <w:lang w:val="en-US" w:eastAsia="zh-CN" w:bidi="ar"/>
        </w:rPr>
        <w:t xml:space="preserve">加强复合型人才培养是可持续发展的基础。人工智能环境应用需要既懂环境科学又懂信息技术，既懂技术研发又懂政策管理的复合型人才。应改革高校课程体系，在环境类专业增设人工智能、数据分析等课程，在信息类专业增加环境科学、可持续发展等课程。发展跨学科的研究生培养项目，鼓励学生进行跨学科研究和实践。在企业层面，应建立常态化的培训体系，提升现有环保技术人员的数据素养和AI技能。在政府层面，加强对环境管理干部的数字化培训，提高其运用新技术进行环境治理的能力。可建立"人工智能+环境"人才库和交流平台，促进人才流动和知识共享。 提升公众数字素养和环境意识。人工智能环境治理需要公众的理解、支持和参与。应开展面向公众的科普教育，通过媒体宣传、社区活动、学校教育等多种渠道，普及人工智能环境应用的基本知识、潜在效益和风险。在AI环境项目决策中，应保障公众的知情权和参与权，建立公开透明的决策程序。对于可能影响公众利益的项目，应开展社会影响评估，并通过听证会、问卷调查等形式广泛征求意见。同时，应建立便捷的公众参与渠道，如开发手机应用让公众报告环境问题、查询环境信息、参与环境监督等，形成"全民共治"的良好局面。 推进国际交流与合作。环境问题是全球性问题，人工智能环境应用也需要国际合作。应积极参与相关国际标准和规则的制定，推动建立公平合理的国际AI治理秩序。加强技术交流与合作，共同研发应对气候变化、生物多样性保护等全球性环境问题的AI解决方案。建立国际环境数据共享机制，在保护数据主权的前提下，促进数据资源的互通互用。通过"一带一路"绿色发展国际联盟、全球人工智能治理倡议等多边平台，推广中国在AI环境治理方面的实践经验和技术方案，为全球可持续发展贡献中国智慧。 </w:t>
      </w:r>
    </w:p>
    <w:p w14:paraId="65D979A0">
      <w:pPr>
        <w:pStyle w:val="3"/>
        <w:keepNext w:val="0"/>
        <w:keepLines w:val="0"/>
        <w:widowControl/>
        <w:suppressLineNumbers w:val="0"/>
      </w:pPr>
      <w:r>
        <w:t xml:space="preserve">第六章 结论 </w:t>
      </w:r>
    </w:p>
    <w:p w14:paraId="20517B30">
      <w:pPr>
        <w:keepNext w:val="0"/>
        <w:keepLines w:val="0"/>
        <w:widowControl/>
        <w:suppressLineNumbers w:val="0"/>
        <w:jc w:val="left"/>
      </w:pPr>
      <w:r>
        <w:rPr>
          <w:rFonts w:ascii="宋体" w:hAnsi="宋体" w:eastAsia="宋体" w:cs="宋体"/>
          <w:kern w:val="0"/>
          <w:sz w:val="24"/>
          <w:szCs w:val="24"/>
          <w:lang w:val="en-US" w:eastAsia="zh-CN" w:bidi="ar"/>
        </w:rPr>
        <w:t xml:space="preserve">人工智能技术正在深刻改变环境保护的理念、方法和实践。本文从信息工程与社会发展互动的视角，系统分析了人工智能在环境保护中的多元角色、面临的多维挑战以及未来的发展路径。研究表明，人工智能通过智能监测、风险评估、决策支持等应用，显著提升了环境治理的精准性、时效性和科学性，为应对复杂环境问题提供了新的技术方案。在污染防控、生态保护、气候变化应对等多个领域，人工智能都展现出巨大应用潜力。 然而，人工智能环境应用仍面临一系列技术瓶颈和社会挑战。在技术层面，模型可解释性不足、数据质量参差不齐、算力能耗巨大等问题制约了技术的大规模应用。在社会层面，算法偏见可能导致新的环境不公，隐私泄露风险增加，数字鸿沟可能加剧地区发展不平衡。在制度层面，法律法规滞后、监管体系不完善、协同机制不健全等问题亟待解决。这些挑战的复杂性和关联性表明，人工智能环境治理不仅是一个技术问题，更是一个复杂的社会技术系统演进过程。 从发展路径看，推动人工智能在环境保护中的健康发展，需要技术创新、制度建设、社会协同的多轮驱动。在技术层面，应重点发展可解释AI、绿色AI、联邦学习等方向，构建高质量的环境数据生态系统。在制度建设方面，应完善法律法规，建立伦理框架，创新监管模式，构建多方参与的治理体系。在社会协同方面，应加强复合型人才培养，提升公众数字素养，推动国际交流合作。 展望未来，人工智能与环境保护的融合将不断深化。一方面，人工智能技术本身将持续演进，更强大、更高效、更可信的算法将不断涌现；另一方面，人工智能将与环境物联网、数字孪生、区块链等技术深度融合，构建更加智能的环境治理体系。在这一过程中，需要始终坚持技术向善、公平普惠、可持续发展的原则，确保人工智能技术真正服务于生态环境保护，促进人与自然和谐共生。 中国的生态文明建设为人工智能环境应用提供了广阔舞台。在美丽中国建设目标的指引下，应充分发挥人工智能的技术优势，破解当前环境治理的难点痛点，同时前瞻性应对可能的风险挑战，推动形成技术先进、治理有效、公众参与、国际合作的人工智能环境治理新格局，为全球环境治理贡献中国智慧和中国方案。 </w:t>
      </w:r>
    </w:p>
    <w:p w14:paraId="09746C9F">
      <w:pPr>
        <w:pStyle w:val="3"/>
        <w:keepNext w:val="0"/>
        <w:keepLines w:val="0"/>
        <w:widowControl/>
        <w:suppressLineNumbers w:val="0"/>
      </w:pPr>
      <w:r>
        <w:t xml:space="preserve">参考文献 </w:t>
      </w:r>
    </w:p>
    <w:p w14:paraId="4F537BC4">
      <w:pPr>
        <w:keepNext w:val="0"/>
        <w:keepLines w:val="0"/>
        <w:widowControl/>
        <w:numPr>
          <w:ilvl w:val="0"/>
          <w:numId w:val="1"/>
        </w:numPr>
        <w:suppressLineNumbers w:val="0"/>
        <w:spacing w:before="0" w:beforeAutospacing="1" w:after="0" w:afterAutospacing="1"/>
        <w:ind w:left="720" w:hanging="360"/>
      </w:pPr>
      <w:r>
        <w:t xml:space="preserve">张明，李娜，王鹏. 基于深度学习的工业污染源智能识别技术研究[J]. 环境科学研究，2021, 34(5): 1123-1132. </w:t>
      </w:r>
    </w:p>
    <w:p w14:paraId="26B52D4D">
      <w:pPr>
        <w:keepNext w:val="0"/>
        <w:keepLines w:val="0"/>
        <w:widowControl/>
        <w:numPr>
          <w:ilvl w:val="0"/>
          <w:numId w:val="1"/>
        </w:numPr>
        <w:suppressLineNumbers w:val="0"/>
        <w:spacing w:before="0" w:beforeAutospacing="1" w:after="0" w:afterAutospacing="1"/>
        <w:ind w:left="720" w:hanging="360"/>
      </w:pPr>
      <w:r>
        <w:t xml:space="preserve">李华，陈涛，赵磊. 强化学习在污水处理智能控制中的应用[J]. 中国给水排水，2022, 38(15): 45-52. </w:t>
      </w:r>
    </w:p>
    <w:p w14:paraId="36B96B19">
      <w:pPr>
        <w:keepNext w:val="0"/>
        <w:keepLines w:val="0"/>
        <w:widowControl/>
        <w:numPr>
          <w:ilvl w:val="0"/>
          <w:numId w:val="1"/>
        </w:numPr>
        <w:suppressLineNumbers w:val="0"/>
        <w:spacing w:before="0" w:beforeAutospacing="1" w:after="0" w:afterAutospacing="1"/>
        <w:ind w:left="720" w:hanging="360"/>
      </w:pPr>
      <w:r>
        <w:t xml:space="preserve">王强，刘洋，孙伟. 人工智能在生物多样性监测中的应用与挑战[J]. 生态学报，2023, 43(8): 3125-3135. </w:t>
      </w:r>
    </w:p>
    <w:p w14:paraId="62E4E97F">
      <w:pPr>
        <w:keepNext w:val="0"/>
        <w:keepLines w:val="0"/>
        <w:widowControl/>
        <w:numPr>
          <w:ilvl w:val="0"/>
          <w:numId w:val="1"/>
        </w:numPr>
        <w:suppressLineNumbers w:val="0"/>
        <w:spacing w:before="0" w:beforeAutospacing="1" w:after="0" w:afterAutospacing="1"/>
        <w:ind w:left="720" w:hanging="360"/>
      </w:pPr>
      <w:r>
        <w:t xml:space="preserve">陈立，郑琳，吴昊. 人工智能环境模型的可解释性问题研究[J]. 环境科学与技术，2020, 43(11): 221-229. </w:t>
      </w:r>
    </w:p>
    <w:p w14:paraId="29A3899B">
      <w:pPr>
        <w:keepNext w:val="0"/>
        <w:keepLines w:val="0"/>
        <w:widowControl/>
        <w:numPr>
          <w:ilvl w:val="0"/>
          <w:numId w:val="1"/>
        </w:numPr>
        <w:suppressLineNumbers w:val="0"/>
        <w:spacing w:before="0" w:beforeAutospacing="1" w:after="0" w:afterAutospacing="1"/>
        <w:ind w:left="720" w:hanging="360"/>
      </w:pPr>
      <w:r>
        <w:t xml:space="preserve">刘洋，周明，黄磊. 环境大数据标准化与共享机制研究[J]. 中国环境管理，2023, 15(2): 78-85. </w:t>
      </w:r>
    </w:p>
    <w:p w14:paraId="75FCAC89">
      <w:pPr>
        <w:keepNext w:val="0"/>
        <w:keepLines w:val="0"/>
        <w:widowControl/>
        <w:numPr>
          <w:ilvl w:val="0"/>
          <w:numId w:val="1"/>
        </w:numPr>
        <w:suppressLineNumbers w:val="0"/>
        <w:spacing w:before="0" w:beforeAutospacing="1" w:after="0" w:afterAutospacing="1"/>
        <w:ind w:left="720" w:hanging="360"/>
      </w:pPr>
      <w:r>
        <w:t xml:space="preserve">赵军，孙伟，李娜. 人工智能系统的碳足迹评估与优化[J]. 计算机研究与发展，2022, 59(7): 1456-1468. </w:t>
      </w:r>
    </w:p>
    <w:p w14:paraId="2C59BCBD">
      <w:pPr>
        <w:keepNext w:val="0"/>
        <w:keepLines w:val="0"/>
        <w:widowControl/>
        <w:numPr>
          <w:ilvl w:val="0"/>
          <w:numId w:val="1"/>
        </w:numPr>
        <w:suppressLineNumbers w:val="0"/>
        <w:spacing w:before="0" w:beforeAutospacing="1" w:after="0" w:afterAutospacing="1"/>
        <w:ind w:left="720" w:hanging="360"/>
      </w:pPr>
      <w:r>
        <w:t xml:space="preserve">孙伟，郑琳，陈立. 环境正义视角下的人工智能治理研究[J]. 中国软科学，2021(6): 45-53. </w:t>
      </w:r>
    </w:p>
    <w:p w14:paraId="2019F19B">
      <w:pPr>
        <w:keepNext w:val="0"/>
        <w:keepLines w:val="0"/>
        <w:widowControl/>
        <w:numPr>
          <w:ilvl w:val="0"/>
          <w:numId w:val="1"/>
        </w:numPr>
        <w:suppressLineNumbers w:val="0"/>
        <w:spacing w:before="0" w:beforeAutospacing="1" w:after="0" w:afterAutospacing="1"/>
        <w:ind w:left="720" w:hanging="360"/>
      </w:pPr>
      <w:r>
        <w:t xml:space="preserve">吴昊，王强，张明. 人工智能环境应用的监管框架研究[J]. 行政法学研究，2022, 30(4): 112-125. </w:t>
      </w:r>
    </w:p>
    <w:p w14:paraId="026AB727">
      <w:pPr>
        <w:keepNext w:val="0"/>
        <w:keepLines w:val="0"/>
        <w:widowControl/>
        <w:numPr>
          <w:ilvl w:val="0"/>
          <w:numId w:val="1"/>
        </w:numPr>
        <w:suppressLineNumbers w:val="0"/>
        <w:spacing w:before="0" w:beforeAutospacing="1" w:after="0" w:afterAutospacing="1"/>
        <w:ind w:left="720" w:hanging="360"/>
      </w:pPr>
      <w:r>
        <w:t xml:space="preserve">郑琳，刘洋，赵军. 公众对人工智能环境应用的认知与接受度调查[J]. 科学学研究，2022, 40(9): 1563-1572. </w:t>
      </w:r>
    </w:p>
    <w:p w14:paraId="123435EF">
      <w:pPr>
        <w:keepNext w:val="0"/>
        <w:keepLines w:val="0"/>
        <w:widowControl/>
        <w:numPr>
          <w:ilvl w:val="0"/>
          <w:numId w:val="1"/>
        </w:numPr>
        <w:suppressLineNumbers w:val="0"/>
        <w:spacing w:before="0" w:beforeAutospacing="1" w:after="0" w:afterAutospacing="1"/>
        <w:ind w:left="720" w:hanging="360"/>
      </w:pPr>
      <w:r>
        <w:t xml:space="preserve">周明，李华，黄磊. 智慧环保系统的架构设计与实现[J]. 计算机工程与应用，2021, 57(20): 256-264. </w:t>
      </w:r>
    </w:p>
    <w:p w14:paraId="64AA0D60">
      <w:pPr>
        <w:keepNext w:val="0"/>
        <w:keepLines w:val="0"/>
        <w:widowControl/>
        <w:numPr>
          <w:ilvl w:val="0"/>
          <w:numId w:val="1"/>
        </w:numPr>
        <w:suppressLineNumbers w:val="0"/>
        <w:spacing w:before="0" w:beforeAutospacing="1" w:after="0" w:afterAutospacing="1"/>
        <w:ind w:left="720" w:hanging="360"/>
      </w:pPr>
      <w:r>
        <w:t>Smith, J., Johnson, L., &amp; Williams, R. Artificial Intelligence for Environmental Sustainability: A Global Comparative Study. Nature Sustainability, 2022, 5(3): 214-225.</w:t>
      </w:r>
    </w:p>
    <w:p w14:paraId="0C29F1AC">
      <w:pPr>
        <w:widowControl/>
        <w:jc w:val="left"/>
        <w:rPr>
          <w:rFonts w:hint="eastAsia" w:ascii="仿宋" w:hAnsi="仿宋" w:eastAsia="仿宋"/>
          <w:sz w:val="30"/>
          <w:szCs w:val="30"/>
          <w:lang w:val="en-US" w:eastAsia="zh-CN"/>
        </w:rPr>
      </w:pPr>
    </w:p>
    <w:p w14:paraId="591E59E4">
      <w:pPr>
        <w:widowControl/>
        <w:jc w:val="left"/>
        <w:rPr>
          <w:rFonts w:hint="eastAsia" w:ascii="黑体" w:hAnsi="黑体" w:eastAsia="黑体" w:cs="黑体"/>
          <w:bCs/>
          <w:sz w:val="32"/>
          <w:szCs w:val="32"/>
        </w:rPr>
      </w:pPr>
      <w:r>
        <w:drawing>
          <wp:inline distT="0" distB="0" distL="114300" distR="114300">
            <wp:extent cx="4442460" cy="3101340"/>
            <wp:effectExtent l="0" t="0" r="762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442460" cy="3101340"/>
                    </a:xfrm>
                    <a:prstGeom prst="rect">
                      <a:avLst/>
                    </a:prstGeom>
                    <a:noFill/>
                    <a:ln>
                      <a:noFill/>
                    </a:ln>
                  </pic:spPr>
                </pic:pic>
              </a:graphicData>
            </a:graphic>
          </wp:inline>
        </w:drawing>
      </w:r>
      <w:bookmarkStart w:id="0" w:name="_GoBack"/>
      <w:bookmarkEnd w:id="0"/>
    </w:p>
    <w:p w14:paraId="2C8E060B">
      <w:pPr>
        <w:spacing w:before="156" w:beforeLines="50" w:after="156" w:afterLines="50" w:line="360" w:lineRule="auto"/>
        <w:ind w:left="840" w:leftChars="0" w:firstLine="420" w:firstLineChars="0"/>
        <w:jc w:val="both"/>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5"/>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56BB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7153BB0B">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46273F41">
            <w:pPr>
              <w:pStyle w:val="2"/>
              <w:keepNext w:val="0"/>
              <w:keepLines w:val="0"/>
              <w:widowControl/>
              <w:suppressLineNumbers w:val="0"/>
            </w:pPr>
            <w:r>
              <w:rPr>
                <w:rFonts w:hint="eastAsia" w:ascii="黑体" w:hAnsi="黑体" w:eastAsia="黑体" w:cs="宋体"/>
                <w:b w:val="0"/>
                <w:bCs w:val="0"/>
                <w:kern w:val="2"/>
                <w:sz w:val="21"/>
                <w:szCs w:val="22"/>
                <w:lang w:val="en-US" w:eastAsia="zh-CN" w:bidi="ar-SA"/>
              </w:rPr>
              <w:t>人</w:t>
            </w:r>
            <w:r>
              <w:rPr>
                <w:rFonts w:hint="eastAsia" w:ascii="黑体" w:hAnsi="黑体" w:eastAsia="黑体" w:cs="宋体"/>
                <w:b w:val="0"/>
                <w:bCs w:val="0"/>
                <w:kern w:val="2"/>
                <w:sz w:val="21"/>
                <w:szCs w:val="22"/>
                <w:lang w:val="en-US" w:eastAsia="zh-CN" w:bidi="ar-SA"/>
              </w:rPr>
              <w:t xml:space="preserve">工智能在环境保护中的角色与挑战：基于信息工程与社会视角 </w:t>
            </w:r>
          </w:p>
          <w:p w14:paraId="154B84CD">
            <w:pPr>
              <w:tabs>
                <w:tab w:val="left" w:pos="6870"/>
              </w:tabs>
              <w:jc w:val="center"/>
              <w:rPr>
                <w:rFonts w:ascii="仿宋" w:hAnsi="仿宋" w:eastAsia="仿宋"/>
                <w:color w:val="FF0000"/>
              </w:rPr>
            </w:pPr>
            <w:r>
              <w:rPr>
                <w:rFonts w:hint="eastAsia" w:ascii="仿宋" w:hAnsi="仿宋" w:eastAsia="仿宋"/>
              </w:rPr>
              <w:t xml:space="preserve"> </w:t>
            </w:r>
          </w:p>
        </w:tc>
      </w:tr>
      <w:tr w14:paraId="064B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16B310C2">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246B984D">
            <w:pPr>
              <w:tabs>
                <w:tab w:val="left" w:pos="6870"/>
              </w:tabs>
              <w:jc w:val="center"/>
              <w:rPr>
                <w:rFonts w:ascii="仿宋" w:hAnsi="仿宋" w:eastAsia="仿宋"/>
              </w:rPr>
            </w:pPr>
            <w:r>
              <w:rPr>
                <w:rFonts w:hint="eastAsia" w:ascii="仿宋" w:hAnsi="仿宋" w:eastAsia="仿宋"/>
                <w:lang w:val="en-US" w:eastAsia="zh-CN"/>
              </w:rPr>
              <w:t>蒋卫华</w:t>
            </w: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14:paraId="2795C1C9">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75C53085">
            <w:pPr>
              <w:tabs>
                <w:tab w:val="left" w:pos="6870"/>
              </w:tabs>
              <w:jc w:val="center"/>
              <w:rPr>
                <w:rFonts w:hint="default" w:ascii="仿宋" w:hAnsi="仿宋" w:eastAsia="仿宋"/>
                <w:lang w:val="en-US" w:eastAsia="zh-CN"/>
              </w:rPr>
            </w:pPr>
            <w:r>
              <w:rPr>
                <w:rFonts w:ascii="仿宋" w:hAnsi="仿宋" w:eastAsia="仿宋"/>
              </w:rPr>
              <w:t xml:space="preserve">  </w:t>
            </w:r>
            <w:r>
              <w:rPr>
                <w:rFonts w:hint="eastAsia" w:ascii="仿宋" w:hAnsi="仿宋" w:eastAsia="仿宋"/>
                <w:lang w:val="en-US" w:eastAsia="zh-CN"/>
              </w:rPr>
              <w:t>B220408 B22090233</w:t>
            </w:r>
          </w:p>
        </w:tc>
        <w:tc>
          <w:tcPr>
            <w:tcW w:w="1134" w:type="dxa"/>
            <w:tcBorders>
              <w:top w:val="single" w:color="auto" w:sz="4" w:space="0"/>
              <w:left w:val="single" w:color="auto" w:sz="4" w:space="0"/>
              <w:bottom w:val="single" w:color="auto" w:sz="4" w:space="0"/>
              <w:right w:val="single" w:color="auto" w:sz="4" w:space="0"/>
            </w:tcBorders>
            <w:vAlign w:val="center"/>
          </w:tcPr>
          <w:p w14:paraId="02E7B97A">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6912E93B">
            <w:pPr>
              <w:tabs>
                <w:tab w:val="left" w:pos="6870"/>
              </w:tabs>
              <w:jc w:val="center"/>
              <w:rPr>
                <w:rFonts w:ascii="仿宋" w:hAnsi="仿宋" w:eastAsia="仿宋"/>
                <w:color w:val="FF0000"/>
              </w:rPr>
            </w:pPr>
            <w:r>
              <w:rPr>
                <w:rFonts w:hint="eastAsia" w:ascii="仿宋" w:hAnsi="仿宋" w:eastAsia="仿宋"/>
                <w:lang w:val="en-US" w:eastAsia="zh-CN"/>
              </w:rPr>
              <w:t>计算机科学与技术</w:t>
            </w:r>
            <w:r>
              <w:rPr>
                <w:rFonts w:hint="eastAsia" w:ascii="仿宋" w:hAnsi="仿宋" w:eastAsia="仿宋"/>
              </w:rPr>
              <w:t xml:space="preserve"> </w:t>
            </w:r>
          </w:p>
        </w:tc>
      </w:tr>
      <w:tr w14:paraId="03C4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DE03169">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CB0B30F">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408783F0">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1D01DDC5">
            <w:pPr>
              <w:tabs>
                <w:tab w:val="left" w:pos="6870"/>
              </w:tabs>
              <w:jc w:val="center"/>
              <w:rPr>
                <w:rFonts w:ascii="楷体" w:hAnsi="楷体" w:eastAsia="楷体"/>
                <w:color w:val="000000"/>
              </w:rPr>
            </w:pPr>
            <w:r>
              <w:rPr>
                <w:rFonts w:hint="eastAsia" w:ascii="楷体" w:hAnsi="楷体" w:eastAsia="楷体"/>
                <w:color w:val="000000"/>
              </w:rPr>
              <w:t>评分</w:t>
            </w:r>
          </w:p>
        </w:tc>
      </w:tr>
      <w:tr w14:paraId="13D89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57F5F8D">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D7540BE">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D3187E4">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3295E0AB">
            <w:pPr>
              <w:tabs>
                <w:tab w:val="left" w:pos="6870"/>
              </w:tabs>
              <w:jc w:val="center"/>
              <w:rPr>
                <w:rFonts w:ascii="仿宋" w:hAnsi="仿宋" w:eastAsia="仿宋"/>
                <w:color w:val="000000"/>
              </w:rPr>
            </w:pPr>
            <w:r>
              <w:rPr>
                <w:rFonts w:ascii="仿宋" w:hAnsi="仿宋" w:eastAsia="仿宋"/>
                <w:color w:val="000000"/>
              </w:rPr>
              <w:t xml:space="preserve"> </w:t>
            </w:r>
          </w:p>
        </w:tc>
      </w:tr>
      <w:tr w14:paraId="2837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03A704E9">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791F0CC">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745D7A7F">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CB6CD30">
            <w:pPr>
              <w:tabs>
                <w:tab w:val="left" w:pos="6870"/>
              </w:tabs>
              <w:jc w:val="center"/>
              <w:rPr>
                <w:rFonts w:ascii="仿宋" w:hAnsi="仿宋" w:eastAsia="仿宋"/>
                <w:color w:val="000000"/>
              </w:rPr>
            </w:pPr>
            <w:r>
              <w:rPr>
                <w:rFonts w:ascii="仿宋" w:hAnsi="仿宋" w:eastAsia="仿宋"/>
                <w:color w:val="000000"/>
              </w:rPr>
              <w:t xml:space="preserve"> </w:t>
            </w:r>
          </w:p>
        </w:tc>
      </w:tr>
      <w:tr w14:paraId="13E9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35E92AA">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77F5663">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2870C1FE">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D9F58E1">
            <w:pPr>
              <w:tabs>
                <w:tab w:val="left" w:pos="6870"/>
              </w:tabs>
              <w:jc w:val="center"/>
              <w:rPr>
                <w:rFonts w:ascii="仿宋" w:hAnsi="仿宋" w:eastAsia="仿宋"/>
                <w:color w:val="000000"/>
              </w:rPr>
            </w:pPr>
            <w:r>
              <w:rPr>
                <w:rFonts w:ascii="仿宋" w:hAnsi="仿宋" w:eastAsia="仿宋"/>
                <w:color w:val="000000"/>
              </w:rPr>
              <w:t xml:space="preserve"> </w:t>
            </w:r>
          </w:p>
        </w:tc>
      </w:tr>
      <w:tr w14:paraId="5574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433A631">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CAA8F38">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9C40F00">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64F9D34">
            <w:pPr>
              <w:tabs>
                <w:tab w:val="left" w:pos="6870"/>
              </w:tabs>
              <w:jc w:val="center"/>
              <w:rPr>
                <w:rFonts w:ascii="仿宋" w:hAnsi="仿宋" w:eastAsia="仿宋"/>
                <w:color w:val="000000"/>
              </w:rPr>
            </w:pPr>
            <w:r>
              <w:rPr>
                <w:rFonts w:ascii="仿宋" w:hAnsi="仿宋" w:eastAsia="仿宋"/>
                <w:color w:val="000000"/>
              </w:rPr>
              <w:t xml:space="preserve"> </w:t>
            </w:r>
          </w:p>
        </w:tc>
      </w:tr>
      <w:tr w14:paraId="5B72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2C10255">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E31A4C5">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1E0D5824">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31F6880">
            <w:pPr>
              <w:tabs>
                <w:tab w:val="left" w:pos="6870"/>
              </w:tabs>
              <w:jc w:val="center"/>
              <w:rPr>
                <w:rFonts w:ascii="仿宋" w:hAnsi="仿宋" w:eastAsia="仿宋"/>
                <w:color w:val="000000"/>
              </w:rPr>
            </w:pPr>
            <w:r>
              <w:rPr>
                <w:rFonts w:ascii="仿宋" w:hAnsi="仿宋" w:eastAsia="仿宋"/>
                <w:color w:val="000000"/>
              </w:rPr>
              <w:t xml:space="preserve"> </w:t>
            </w:r>
          </w:p>
        </w:tc>
      </w:tr>
      <w:tr w14:paraId="0E27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3998650">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302772DB">
            <w:pPr>
              <w:tabs>
                <w:tab w:val="left" w:pos="6870"/>
              </w:tabs>
              <w:rPr>
                <w:rFonts w:ascii="仿宋" w:hAnsi="仿宋" w:eastAsia="仿宋"/>
                <w:color w:val="000000"/>
              </w:rPr>
            </w:pPr>
          </w:p>
        </w:tc>
      </w:tr>
      <w:tr w14:paraId="0516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671F51E">
            <w:pPr>
              <w:tabs>
                <w:tab w:val="left" w:pos="6870"/>
              </w:tabs>
              <w:jc w:val="center"/>
              <w:rPr>
                <w:rFonts w:ascii="黑体" w:hAnsi="黑体" w:eastAsia="黑体"/>
              </w:rPr>
            </w:pPr>
          </w:p>
          <w:p w14:paraId="65D6053E">
            <w:pPr>
              <w:tabs>
                <w:tab w:val="left" w:pos="6870"/>
              </w:tabs>
              <w:jc w:val="center"/>
              <w:rPr>
                <w:rFonts w:ascii="黑体" w:hAnsi="黑体" w:eastAsia="黑体"/>
              </w:rPr>
            </w:pPr>
          </w:p>
          <w:p w14:paraId="14AEC59D">
            <w:pPr>
              <w:tabs>
                <w:tab w:val="left" w:pos="6870"/>
              </w:tabs>
              <w:jc w:val="center"/>
              <w:rPr>
                <w:rFonts w:ascii="黑体" w:hAnsi="黑体" w:eastAsia="黑体"/>
              </w:rPr>
            </w:pPr>
          </w:p>
          <w:p w14:paraId="090FFD89">
            <w:pPr>
              <w:tabs>
                <w:tab w:val="left" w:pos="6870"/>
              </w:tabs>
              <w:jc w:val="center"/>
              <w:rPr>
                <w:rFonts w:ascii="黑体" w:hAnsi="黑体" w:eastAsia="黑体"/>
              </w:rPr>
            </w:pPr>
          </w:p>
          <w:p w14:paraId="4DB65F60">
            <w:pPr>
              <w:tabs>
                <w:tab w:val="left" w:pos="6870"/>
              </w:tabs>
              <w:jc w:val="center"/>
              <w:rPr>
                <w:rFonts w:ascii="黑体" w:hAnsi="黑体" w:eastAsia="黑体"/>
              </w:rPr>
            </w:pPr>
          </w:p>
          <w:p w14:paraId="7BC88AB8">
            <w:pPr>
              <w:tabs>
                <w:tab w:val="left" w:pos="6870"/>
              </w:tabs>
              <w:jc w:val="center"/>
              <w:rPr>
                <w:rFonts w:ascii="黑体" w:hAnsi="黑体" w:eastAsia="黑体"/>
              </w:rPr>
            </w:pPr>
          </w:p>
          <w:p w14:paraId="615ECC9C">
            <w:pPr>
              <w:tabs>
                <w:tab w:val="left" w:pos="6870"/>
              </w:tabs>
              <w:jc w:val="center"/>
              <w:rPr>
                <w:rFonts w:ascii="黑体" w:hAnsi="黑体" w:eastAsia="黑体"/>
              </w:rPr>
            </w:pPr>
            <w:r>
              <w:rPr>
                <w:rFonts w:hint="eastAsia" w:ascii="黑体" w:hAnsi="黑体" w:eastAsia="黑体"/>
              </w:rPr>
              <w:t>任课教师</w:t>
            </w:r>
          </w:p>
          <w:p w14:paraId="26912F35">
            <w:pPr>
              <w:tabs>
                <w:tab w:val="left" w:pos="6870"/>
              </w:tabs>
              <w:jc w:val="center"/>
              <w:rPr>
                <w:rFonts w:ascii="黑体" w:hAnsi="黑体" w:eastAsia="黑体"/>
              </w:rPr>
            </w:pPr>
            <w:r>
              <w:rPr>
                <w:rFonts w:hint="eastAsia" w:ascii="黑体" w:hAnsi="黑体" w:eastAsia="黑体"/>
              </w:rPr>
              <w:t>评阅意见</w:t>
            </w:r>
          </w:p>
          <w:p w14:paraId="392C7FAF">
            <w:pPr>
              <w:rPr>
                <w:rFonts w:ascii="黑体" w:hAnsi="黑体" w:eastAsia="黑体"/>
              </w:rPr>
            </w:pPr>
          </w:p>
          <w:p w14:paraId="39B9C8D1">
            <w:pPr>
              <w:rPr>
                <w:rFonts w:ascii="黑体" w:hAnsi="黑体" w:eastAsia="黑体"/>
              </w:rPr>
            </w:pPr>
          </w:p>
          <w:p w14:paraId="73956F4C">
            <w:pPr>
              <w:rPr>
                <w:rFonts w:ascii="黑体" w:hAnsi="黑体" w:eastAsia="黑体"/>
              </w:rPr>
            </w:pPr>
          </w:p>
          <w:p w14:paraId="25EBB1D8">
            <w:pPr>
              <w:rPr>
                <w:rFonts w:ascii="黑体" w:hAnsi="黑体" w:eastAsia="黑体"/>
              </w:rPr>
            </w:pPr>
          </w:p>
          <w:p w14:paraId="0A184AAA">
            <w:pPr>
              <w:rPr>
                <w:rFonts w:ascii="黑体" w:hAnsi="黑体" w:eastAsia="黑体"/>
              </w:rPr>
            </w:pPr>
          </w:p>
          <w:p w14:paraId="0B0E5C9A">
            <w:pPr>
              <w:rPr>
                <w:rFonts w:ascii="黑体" w:hAnsi="黑体" w:eastAsia="黑体"/>
              </w:rPr>
            </w:pPr>
          </w:p>
          <w:p w14:paraId="70B00729">
            <w:pPr>
              <w:rPr>
                <w:rFonts w:ascii="黑体" w:hAnsi="黑体" w:eastAsia="黑体"/>
              </w:rPr>
            </w:pPr>
          </w:p>
          <w:p w14:paraId="62CA6EEA">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630422B4">
            <w:pPr>
              <w:tabs>
                <w:tab w:val="left" w:pos="6870"/>
              </w:tabs>
              <w:jc w:val="center"/>
              <w:rPr>
                <w:rFonts w:ascii="仿宋" w:hAnsi="仿宋" w:eastAsia="仿宋"/>
                <w:color w:val="000000"/>
              </w:rPr>
            </w:pPr>
          </w:p>
          <w:p w14:paraId="6585F55B">
            <w:pPr>
              <w:tabs>
                <w:tab w:val="left" w:pos="6870"/>
              </w:tabs>
              <w:jc w:val="center"/>
              <w:rPr>
                <w:rFonts w:ascii="仿宋" w:hAnsi="仿宋" w:eastAsia="仿宋"/>
                <w:color w:val="000000"/>
              </w:rPr>
            </w:pPr>
          </w:p>
          <w:p w14:paraId="672795E6">
            <w:pPr>
              <w:tabs>
                <w:tab w:val="left" w:pos="6870"/>
              </w:tabs>
              <w:jc w:val="center"/>
              <w:rPr>
                <w:rFonts w:ascii="仿宋" w:hAnsi="仿宋" w:eastAsia="仿宋"/>
                <w:color w:val="000000"/>
              </w:rPr>
            </w:pPr>
          </w:p>
          <w:p w14:paraId="2072DE85">
            <w:pPr>
              <w:tabs>
                <w:tab w:val="left" w:pos="6870"/>
              </w:tabs>
              <w:jc w:val="center"/>
              <w:rPr>
                <w:rFonts w:ascii="仿宋" w:hAnsi="仿宋" w:eastAsia="仿宋"/>
                <w:color w:val="000000"/>
              </w:rPr>
            </w:pPr>
          </w:p>
          <w:p w14:paraId="6440523F">
            <w:pPr>
              <w:tabs>
                <w:tab w:val="left" w:pos="6870"/>
              </w:tabs>
              <w:jc w:val="center"/>
              <w:rPr>
                <w:rFonts w:ascii="仿宋" w:hAnsi="仿宋" w:eastAsia="仿宋"/>
                <w:color w:val="000000"/>
              </w:rPr>
            </w:pPr>
          </w:p>
          <w:p w14:paraId="4D56278E">
            <w:pPr>
              <w:tabs>
                <w:tab w:val="left" w:pos="6870"/>
              </w:tabs>
              <w:jc w:val="center"/>
              <w:rPr>
                <w:rFonts w:ascii="仿宋" w:hAnsi="仿宋" w:eastAsia="仿宋"/>
                <w:color w:val="000000"/>
              </w:rPr>
            </w:pPr>
          </w:p>
          <w:p w14:paraId="3313CCB9">
            <w:pPr>
              <w:tabs>
                <w:tab w:val="left" w:pos="6870"/>
              </w:tabs>
              <w:jc w:val="center"/>
              <w:rPr>
                <w:rFonts w:ascii="仿宋" w:hAnsi="仿宋" w:eastAsia="仿宋"/>
                <w:color w:val="000000"/>
              </w:rPr>
            </w:pPr>
          </w:p>
          <w:p w14:paraId="00004E43">
            <w:pPr>
              <w:tabs>
                <w:tab w:val="left" w:pos="6870"/>
              </w:tabs>
              <w:jc w:val="center"/>
              <w:rPr>
                <w:rFonts w:ascii="仿宋" w:hAnsi="仿宋" w:eastAsia="仿宋"/>
                <w:color w:val="000000"/>
              </w:rPr>
            </w:pPr>
          </w:p>
          <w:p w14:paraId="5F5883DE">
            <w:pPr>
              <w:tabs>
                <w:tab w:val="left" w:pos="6870"/>
              </w:tabs>
              <w:jc w:val="center"/>
              <w:rPr>
                <w:rFonts w:ascii="仿宋" w:hAnsi="仿宋" w:eastAsia="仿宋"/>
                <w:color w:val="000000"/>
              </w:rPr>
            </w:pPr>
          </w:p>
          <w:p w14:paraId="71E173A7">
            <w:pPr>
              <w:tabs>
                <w:tab w:val="left" w:pos="6870"/>
              </w:tabs>
              <w:rPr>
                <w:rFonts w:ascii="仿宋" w:hAnsi="仿宋" w:eastAsia="仿宋"/>
                <w:color w:val="000000"/>
              </w:rPr>
            </w:pPr>
          </w:p>
          <w:p w14:paraId="56973789">
            <w:pPr>
              <w:tabs>
                <w:tab w:val="left" w:pos="6870"/>
              </w:tabs>
              <w:rPr>
                <w:rFonts w:ascii="仿宋" w:hAnsi="仿宋" w:eastAsia="仿宋"/>
                <w:color w:val="000000"/>
              </w:rPr>
            </w:pPr>
          </w:p>
        </w:tc>
      </w:tr>
    </w:tbl>
    <w:p w14:paraId="6F7B64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EAB2E"/>
    <w:multiLevelType w:val="multilevel"/>
    <w:tmpl w:val="046EAB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0A3025"/>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105D"/>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434</Words>
  <Characters>465</Characters>
  <Lines>0</Lines>
  <Paragraphs>0</Paragraphs>
  <TotalTime>3</TotalTime>
  <ScaleCrop>false</ScaleCrop>
  <LinksUpToDate>false</LinksUpToDate>
  <CharactersWithSpaces>741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桂花</cp:lastModifiedBy>
  <dcterms:modified xsi:type="dcterms:W3CDTF">2025-12-15T11:16:09Z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8B51C7883B02430DB283B4CDE478116C_13</vt:lpwstr>
  </property>
  <property fmtid="{D5CDD505-2E9C-101B-9397-08002B2CF9AE}" pid="4" name="KSOTemplateDocerSaveRecord">
    <vt:lpwstr>eyJoZGlkIjoiMzAxNjY5YjY2ZTQwNzgxYjFjNjA1NWUzZDg3MjZlNjgiLCJ1c2VySWQiOiI5OTQwMzI2NTYifQ==</vt:lpwstr>
  </property>
</Properties>
</file>