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Microsoft YaHei" w:hAnsi="Microsoft YaHei" w:eastAsia="Microsoft YaHei"/>
          <w:b/>
          <w:color w:val="000000"/>
          <w:sz w:val="46"/>
        </w:rPr>
        <w:t>两组优化任务分工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第一组｜语音、Qwen 与训练数据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P0｜先冻结评分口径、当前 320 条四模态基线和逐阶段延迟埋点；后续优化统一使用同一验证集对比。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P0｜将标准文本指令从 250 条扩充到不少于 5,000 条；覆盖同义改写、否定、组合指令、模糊目标、目标不存在、安全冲突、单位换算、密集目标、遮挡、曝光和检测误差。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P0｜在第 2 项完成后，按模板、场景和 seed 隔离划分 train/val/test，比例 70%/15%/15%；建立重复、标签冲突和跨 split 泄漏自动检查。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P0｜采集不少于 2,000 条真人音频，覆盖普通话、不同性别/语速/距离、干净环境和经声级计校准的 50 dBA 噪声；方言作为低优先级增益项。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P0｜在第 2—4 项完成后，建立 SenseVoice 文本、意图、槽位、低置信度、安全拒绝及逐语言/噪声回归；门槛为基础意图与槽位不低于 98%，安全拒绝 100%。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P0｜优化语音快路径：流式 VAD、模型常驻预热、SenseVoice INT8/ONNX 或 TensorRT、增量解码、仅高风险低置信度触发第二模型；ASR+NLU P95 目标不高于 60 ms。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P0｜在固定验证集对比 Qwen2.5-VL-7B、3B、AWQ/INT4 版本；按安全正确率、目标关联、显存和 P95 选择模型，不允许只按速度选择。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P0｜在第 7 项选型后优化 Qwen：固定短 JSON、32—48 输出 token、道路 ROI、低像素预算、Top-K 目标、精简场景 JSON、FlashAttention/TensorRT-LLM；复杂指令 P95 目标不高于 300 ms。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P0｜建立 150 ms 快路径：标准速度/启停/减速/明确目标指令由 ASR+确定性 NLU+目标绑定直接下发；Qwen 仅处理复杂、模糊和冲突指令，并保持异步。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P1｜使用扩充数据进行小模型蒸馏或 LoRA 微调；每轮必须同时跑未见模板测试集、检测误差集和安全冲突集，禁止只提高训练集分数。</w:t>
      </w:r>
    </w:p>
    <w:p>
      <w:pPr>
        <w:pStyle w:val="Task"/>
        <w:numPr>
          <w:ilvl w:val="0"/>
          <w:numId w:val="41"/>
        </w:numPr>
      </w:pPr>
      <w:r>
        <w:rPr>
          <w:rFonts w:ascii="Microsoft YaHei" w:hAnsi="Microsoft YaHei" w:eastAsia="Microsoft YaHei"/>
          <w:b w:val="0"/>
          <w:sz w:val="21"/>
        </w:rPr>
        <w:t>P1｜输出模型卡、许可证、权重 SHA-256、量化配置、数据版本、逐类准确率及 mean/P95/P99/max 延迟报告。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224" w:bottom="1080" w:left="1224" w:header="504" w:footer="504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第二组｜传感器、控制与全链路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P0｜先建立全链路统一时间戳：音频开始、VAD 结束、ASR、NLU、感知、Qwen、规划、安全仲裁和控制生效；输出每阶段 mean/P95/P99/max。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P0｜将控制环与模型推理解耦：控制/安全环保持 20—50 Hz，传感器、ASR 和 Qwen 使用有界队列；任何超时、过期或队列堆积必须 fail-closed。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P0｜优化 RGB 感知：固定道路 ROI、输入缩放、检测低频运行+高频跟踪、Top-K 候选、批处理和 GPU 预处理；感知 P95 目标不高于 30 ms。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P0｜完善毫米波雷达+LiDAR+RGB 融合：统一时间同步、坐标转换、目标关联、TTC/距离估计、单传感器失效降级和误检/漏检注入。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P0｜在第一组第 9 项完成后接入快路径；标准指令端到端 P95 目标不高于 150 ms，安全仲裁与控制合计 P95 目标不高于 5 ms。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P0｜接入异步 Qwen 慢路径：事件触发、结果缓存、deadline、stale/timeout/invalid 拒绝、确定性目标纠正；Qwen 永远不得直接输出油门、刹车或方向盘。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P0｜为 S01、D03、D08 各跑不少于 5 个 seed×20 次；记录成功率、碰撞、闯红灯、最小车距、路线偏差、快路径命中率和端到端延迟。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P1｜扩展密集交通、行人遮挡、夜间、雨雾、强曝光、运动模糊、雷达噪声、传感器掉线、ASR 低置信度和 Qwen 超时场景回归。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P1｜完成不少于 60 分钟稳定性实跑、CARLA/Qwen/ASR 崩溃恢复、显存与队列监控；恢复后自动跑传感器探针和安全制动验证。</w:t>
      </w:r>
    </w:p>
    <w:p>
      <w:pPr>
        <w:pStyle w:val="Task"/>
        <w:numPr>
          <w:ilvl w:val="0"/>
          <w:numId w:val="42"/>
        </w:numPr>
      </w:pPr>
      <w:r>
        <w:rPr>
          <w:rFonts w:ascii="Microsoft YaHei" w:hAnsi="Microsoft YaHei" w:eastAsia="Microsoft YaHei"/>
          <w:b w:val="0"/>
          <w:sz w:val="21"/>
        </w:rPr>
        <w:t>P1｜在两组指标冻结后统一生成 evidence_index.json、原始日志哈希、三场景视频、架构图、接口说明、复现脚本、提交检查清单和最终演示材料。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A5A5A"/>
        <w:sz w:val="17"/>
      </w:rPr>
      <w:t>2026-07-28</w:t>
    </w:r>
    <w:r>
      <w:rPr>
        <w:rFonts w:ascii="Microsoft YaHei" w:hAnsi="Microsoft YaHei" w:eastAsia="Microsoft YaHei"/>
        <w:b w:val="0"/>
        <w:color w:val="5A5A5A"/>
        <w:sz w:val="17"/>
      </w:rPr>
      <w:t>2026-07-28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A5A5A"/>
        <w:sz w:val="17"/>
      </w:rPr>
      <w:t>CARLA 挑战赛｜接近满分优化分工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">
    <w:name w:val="Task"/>
    <w:pPr>
      <w:keepLines/>
      <w:spacing w:after="80" w:line="276" w:lineRule="auto"/>
      <w:ind w:left="540" w:hanging="279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