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60000" cy="3835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8619lovact8a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2aydm9649mxw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0" w:before="0" w:lineRule="auto"/>
        <w:jc w:val="both"/>
        <w:rPr/>
      </w:pPr>
      <w:bookmarkStart w:colFirst="0" w:colLast="0" w:name="_p506tu6iyayi" w:id="2"/>
      <w:bookmarkEnd w:id="2"/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760000" cy="3238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fc7kbgt4o1vw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o9b35f54nh7r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2j6katkt6hse" w:id="5"/>
      <w:bookmarkEnd w:id="5"/>
      <w:r w:rsidDel="00000000" w:rsidR="00000000" w:rsidRPr="00000000">
        <w:rPr>
          <w:rtl w:val="0"/>
        </w:rPr>
        <w:t xml:space="preserve">ELEVATOR PITCH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WebMec</w:t>
      </w:r>
      <w:r w:rsidDel="00000000" w:rsidR="00000000" w:rsidRPr="00000000">
        <w:rPr>
          <w:rtl w:val="0"/>
        </w:rPr>
        <w:t xml:space="preserve"> é uma plataforma que conecta clientes a oficinas mecânicas de forma simples, rápida e confiável. Pelo aplicativo, o usuário pode encontrar oficinas, comparar serviços, agendar atendimentos e ter mais praticidade na hora de cuidar do veículo, tudo em um só lugar.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Para as mecânicas, a WebMec funciona como uma vitrine digital, aumentando a visibilidade, facilitando o contato com novos clientes e modernizando o atendimento. Assim, a plataforma melhora a experiência de quem precisa de serviços automotivos e também fortalece os negócios das oficinas parceiras.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rml9kae4au91" w:id="6"/>
      <w:bookmarkEnd w:id="6"/>
      <w:r w:rsidDel="00000000" w:rsidR="00000000" w:rsidRPr="00000000">
        <w:rPr>
          <w:rtl w:val="0"/>
        </w:rPr>
        <w:t xml:space="preserve">Marca nominativa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WebMec, podendo também utilizar a abreviação WM como forma secundária de identificação.</w:t>
        <w:br w:type="textWrapping"/>
        <w:t xml:space="preserve"> A marca nominativa é o nome escrito da empresa, sem depender do desenho. Nesse caso, “WebMec” comunica de forma direta a junção entre web e mecânica, transmitindo a ideia de um negócio moderno ligado ao setor automotivo.</w:t>
      </w:r>
    </w:p>
    <w:p w:rsidR="00000000" w:rsidDel="00000000" w:rsidP="00000000" w:rsidRDefault="00000000" w:rsidRPr="00000000" w14:paraId="0000000C">
      <w:pPr>
        <w:pStyle w:val="Heading2"/>
        <w:spacing w:after="240" w:before="240" w:lineRule="auto"/>
        <w:jc w:val="both"/>
        <w:rPr/>
      </w:pPr>
      <w:bookmarkStart w:colFirst="0" w:colLast="0" w:name="_tvzlaryfpb8z" w:id="7"/>
      <w:bookmarkEnd w:id="7"/>
      <w:r w:rsidDel="00000000" w:rsidR="00000000" w:rsidRPr="00000000">
        <w:rPr>
          <w:rtl w:val="0"/>
        </w:rPr>
        <w:t xml:space="preserve">Marca visual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A marca visual é composta por um </w:t>
      </w:r>
      <w:r w:rsidDel="00000000" w:rsidR="00000000" w:rsidRPr="00000000">
        <w:rPr>
          <w:b w:val="1"/>
          <w:bCs w:val="1"/>
          <w:rtl w:val="0"/>
        </w:rPr>
        <w:t xml:space="preserve">disco de freio com pinça</w:t>
      </w:r>
      <w:r w:rsidDel="00000000" w:rsidR="00000000" w:rsidRPr="00000000">
        <w:rPr>
          <w:rtl w:val="0"/>
        </w:rPr>
        <w:t xml:space="preserve"> ao fundo e pelas letras </w:t>
      </w:r>
      <w:r w:rsidDel="00000000" w:rsidR="00000000" w:rsidRPr="00000000">
        <w:rPr>
          <w:b w:val="1"/>
          <w:bCs w:val="1"/>
          <w:rtl w:val="0"/>
        </w:rPr>
        <w:t xml:space="preserve">WM</w:t>
      </w:r>
      <w:r w:rsidDel="00000000" w:rsidR="00000000" w:rsidRPr="00000000">
        <w:rPr>
          <w:rtl w:val="0"/>
        </w:rPr>
        <w:t xml:space="preserve"> construídas com </w:t>
      </w:r>
      <w:r w:rsidDel="00000000" w:rsidR="00000000" w:rsidRPr="00000000">
        <w:rPr>
          <w:b w:val="1"/>
          <w:bCs w:val="1"/>
          <w:rtl w:val="0"/>
        </w:rPr>
        <w:t xml:space="preserve">pistões automotivos</w:t>
      </w:r>
      <w:r w:rsidDel="00000000" w:rsidR="00000000" w:rsidRPr="00000000">
        <w:rPr>
          <w:rtl w:val="0"/>
        </w:rPr>
        <w:t xml:space="preserve"> em destaque. O conjunto gráfico utiliza traços fortes em </w:t>
      </w:r>
      <w:r w:rsidDel="00000000" w:rsidR="00000000" w:rsidRPr="00000000">
        <w:rPr>
          <w:b w:val="1"/>
          <w:bCs w:val="1"/>
          <w:rtl w:val="0"/>
        </w:rPr>
        <w:t xml:space="preserve">preto e branco</w:t>
      </w:r>
      <w:r w:rsidDel="00000000" w:rsidR="00000000" w:rsidRPr="00000000">
        <w:rPr>
          <w:rtl w:val="0"/>
        </w:rPr>
        <w:t xml:space="preserve">, com estilo limpo, técnico e marcante. Essa composição transmite conceitos como </w:t>
      </w:r>
      <w:r w:rsidDel="00000000" w:rsidR="00000000" w:rsidRPr="00000000">
        <w:rPr>
          <w:b w:val="1"/>
          <w:bCs w:val="1"/>
          <w:rtl w:val="0"/>
        </w:rPr>
        <w:t xml:space="preserve">força, desempenho, precisão, tecnologia e identidade mecânica</w:t>
      </w:r>
      <w:r w:rsidDel="00000000" w:rsidR="00000000" w:rsidRPr="00000000">
        <w:rPr>
          <w:rtl w:val="0"/>
        </w:rPr>
        <w:t xml:space="preserve">, reforçando o posicionamento da marca no universo automotivo.</w:t>
      </w:r>
    </w:p>
    <w:p w:rsidR="00000000" w:rsidDel="00000000" w:rsidP="00000000" w:rsidRDefault="00000000" w:rsidRPr="00000000" w14:paraId="0000000E">
      <w:pPr>
        <w:pStyle w:val="Heading2"/>
        <w:spacing w:after="240" w:before="240" w:lineRule="auto"/>
        <w:jc w:val="both"/>
        <w:rPr/>
      </w:pPr>
      <w:bookmarkStart w:colFirst="0" w:colLast="0" w:name="_r1843lqfdtmx" w:id="8"/>
      <w:bookmarkEnd w:id="8"/>
      <w:r w:rsidDel="00000000" w:rsidR="00000000" w:rsidRPr="00000000">
        <w:rPr>
          <w:rtl w:val="0"/>
        </w:rPr>
        <w:t xml:space="preserve">Marca fonética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marca fonética pode ser apresentada como </w:t>
      </w:r>
      <w:r w:rsidDel="00000000" w:rsidR="00000000" w:rsidRPr="00000000">
        <w:rPr>
          <w:b w:val="1"/>
          <w:bCs w:val="1"/>
          <w:rtl w:val="0"/>
        </w:rPr>
        <w:t xml:space="preserve">“WebMec”</w:t>
      </w:r>
      <w:r w:rsidDel="00000000" w:rsidR="00000000" w:rsidRPr="00000000">
        <w:rPr>
          <w:rtl w:val="0"/>
        </w:rPr>
        <w:t xml:space="preserve">, com pronúncia aproximada de </w:t>
      </w:r>
      <w:r w:rsidDel="00000000" w:rsidR="00000000" w:rsidRPr="00000000">
        <w:rPr>
          <w:b w:val="1"/>
          <w:bCs w:val="1"/>
          <w:rtl w:val="0"/>
        </w:rPr>
        <w:t xml:space="preserve">“uéb-méc”</w:t>
      </w:r>
      <w:r w:rsidDel="00000000" w:rsidR="00000000" w:rsidRPr="00000000">
        <w:rPr>
          <w:rtl w:val="0"/>
        </w:rPr>
        <w:t xml:space="preserve">, ou pela sigla </w:t>
      </w:r>
      <w:r w:rsidDel="00000000" w:rsidR="00000000" w:rsidRPr="00000000">
        <w:rPr>
          <w:b w:val="1"/>
          <w:bCs w:val="1"/>
          <w:rtl w:val="0"/>
        </w:rPr>
        <w:t xml:space="preserve">“WM”</w:t>
      </w:r>
      <w:r w:rsidDel="00000000" w:rsidR="00000000" w:rsidRPr="00000000">
        <w:rPr>
          <w:rtl w:val="0"/>
        </w:rPr>
        <w:t xml:space="preserve">, pronunciada como </w:t>
      </w:r>
      <w:r w:rsidDel="00000000" w:rsidR="00000000" w:rsidRPr="00000000">
        <w:rPr>
          <w:b w:val="1"/>
          <w:bCs w:val="1"/>
          <w:rtl w:val="0"/>
        </w:rPr>
        <w:t xml:space="preserve">“dáblio eme”</w:t>
      </w:r>
      <w:r w:rsidDel="00000000" w:rsidR="00000000" w:rsidRPr="00000000">
        <w:rPr>
          <w:rtl w:val="0"/>
        </w:rPr>
        <w:t xml:space="preserve">. Sonoramente, é uma marca curta, fácil de lembrar e com boa associação ao segmento mecânico e digital.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700.7874015748032" w:top="1133.8582677165355" w:left="1133.8582677165355" w:right="1700.787401574803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