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F766E"/>
        </w:rPr>
        <w:t>Organisation 2027 — Restructuring Plan (DRAFT, do not distribute)</w:t>
      </w:r>
    </w:p>
    <w:p>
      <w:r>
        <w:t>Net headcount change: −4 positions (Operations −2, IT −1, Marketing −1).</w:t>
      </w:r>
    </w:p>
    <w:p>
      <w:r>
        <w:t>The warehouse supervisor role will not be backfilled. First-line IT support will be outsourced from 1 February 2027. One picker position in the warehouse will be removed.</w:t>
      </w:r>
    </w:p>
    <w:p>
      <w:r>
        <w:t>Individual conversations with affected staff start 1 December, after board approval on 20 November.</w:t>
      </w:r>
    </w:p>
    <w:p>
      <w:r>
        <w:t>HR will prepare individual letters and severance calculations (see HR/Compensation 2026).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Restructuring Plan 2027 - DRAFT</dc:title>
  <dc:subject/>
  <dc:creator>Priya Nair</dc:creator>
  <cp:keywords/>
  <dc:description>generated by python-docx</dc:description>
  <cp:lastModifiedBy>Priya Nair</cp:lastModifiedBy>
  <cp:revision>1</cp:revision>
  <dcterms:created xsi:type="dcterms:W3CDTF">2026-10-14T09:30:00Z</dcterms:created>
  <dcterms:modified xsi:type="dcterms:W3CDTF">2026-10-14T09:30:00Z</dcterms:modified>
  <cp:category/>
</cp:coreProperties>
</file>