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Investor Update — Q3 2026 (draft)</w:t>
      </w:r>
    </w:p>
    <w:p>
      <w:r>
        <w:t>Dear investors,</w:t>
      </w:r>
    </w:p>
    <w:p>
      <w:r>
        <w:t>Q3 revenue was USD 4.82M (plan: 4.97M). The shortfall comes from the Westbridge contract, which now starts in November. Gross margin improved to 31% as fuel and freight costs eased.</w:t>
      </w:r>
    </w:p>
    <w:p>
      <w:r>
        <w:t>We continue to explore inorganic growth in logistics software and will report back when there is something concrete to share.</w:t>
      </w:r>
    </w:p>
    <w:p>
      <w:r>
        <w:t>Cash at the end of September was USD 2.6M with no drawn debt.</w:t>
      </w:r>
    </w:p>
    <w:p>
      <w:r>
        <w:t>— Daniel Reyes, CEO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Investor Update - Q3 2026 - draft</dc:title>
  <dc:subject/>
  <dc:creator>Daniel Reyes</dc:creator>
  <cp:keywords/>
  <dc:description>generated by python-docx</dc:description>
  <cp:lastModifiedBy>Daniel Reyes</cp:lastModifiedBy>
  <cp:revision>1</cp:revision>
  <dcterms:created xsi:type="dcterms:W3CDTF">2026-10-16T09:30:00Z</dcterms:created>
  <dcterms:modified xsi:type="dcterms:W3CDTF">2026-10-16T09:30:00Z</dcterms:modified>
  <cp:category/>
</cp:coreProperties>
</file>