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Falcon — Financial Due Diligence Checklist</w:t>
      </w:r>
    </w:p>
    <w:p>
      <w:pPr>
        <w:pStyle w:val="ListBullet"/>
      </w:pPr>
      <w:r>
        <w:t>Audited accounts 2023–2025 and management accounts YTD 2026</w:t>
      </w:r>
    </w:p>
    <w:p>
      <w:pPr>
        <w:pStyle w:val="ListBullet"/>
      </w:pPr>
      <w:r>
        <w:t>Customer concentration: top-5 customers and contract terms</w:t>
      </w:r>
    </w:p>
    <w:p>
      <w:pPr>
        <w:pStyle w:val="ListBullet"/>
      </w:pPr>
      <w:r>
        <w:t>Deferred revenue and recognition policy for multi-year licences</w:t>
      </w:r>
    </w:p>
    <w:p>
      <w:pPr>
        <w:pStyle w:val="ListBullet"/>
      </w:pPr>
      <w:r>
        <w:t>Founder loans and related-party transactions</w:t>
      </w:r>
    </w:p>
    <w:p>
      <w:pPr>
        <w:pStyle w:val="ListBullet"/>
      </w:pPr>
      <w:r>
        <w:t>Key-person retention: CTO and two lead engineers</w:t>
      </w:r>
    </w:p>
    <w:p>
      <w:pPr>
        <w:pStyle w:val="ListBullet"/>
      </w:pPr>
      <w:r>
        <w:t>Open litigation (one IP dispute disclosed in the teaser)</w:t>
      </w:r>
    </w:p>
    <w:p>
      <w:r>
        <w:t>Status: data room access granted on 1 October; 60% of items received.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Falcon - Due Diligence Checklist</dc:title>
  <dc:subject/>
  <dc:creator>Mark Chen</dc:creator>
  <cp:keywords/>
  <dc:description>generated by python-docx</dc:description>
  <cp:lastModifiedBy>Mark Chen</cp:lastModifiedBy>
  <cp:revision>1</cp:revision>
  <dcterms:created xsi:type="dcterms:W3CDTF">2026-10-02T09:30:00Z</dcterms:created>
  <dcterms:modified xsi:type="dcterms:W3CDTF">2026-10-02T09:30:00Z</dcterms:modified>
  <cp:category/>
</cp:coreProperties>
</file>