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Meridian Labs — Strategy 2027</w:t>
      </w:r>
    </w:p>
    <w:p>
      <w:pPr>
        <w:pStyle w:val="Heading2"/>
      </w:pPr>
      <w:r>
        <w:t>Where we play</w:t>
      </w:r>
    </w:p>
    <w:p>
      <w:r>
        <w:t>Mid-size logistics and wholesale customers in the region who want reliable last-mile delivery and real-time tracking.</w:t>
      </w:r>
    </w:p>
    <w:p>
      <w:pPr>
        <w:pStyle w:val="Heading2"/>
      </w:pPr>
      <w:r>
        <w:t>Three priorities</w:t>
      </w:r>
    </w:p>
    <w:p>
      <w:pPr>
        <w:pStyle w:val="ListBullet"/>
      </w:pPr>
      <w:r>
        <w:t>Grow software-enabled services to 20% of revenue (from 6%).</w:t>
      </w:r>
    </w:p>
    <w:p>
      <w:pPr>
        <w:pStyle w:val="ListBullet"/>
      </w:pPr>
      <w:r>
        <w:t>Lift on-time delivery from 93% to 97%.</w:t>
      </w:r>
    </w:p>
    <w:p>
      <w:pPr>
        <w:pStyle w:val="ListBullet"/>
      </w:pPr>
      <w:r>
        <w:t>Keep headcount flat while revenue grows 12%.</w:t>
      </w:r>
    </w:p>
    <w:p>
      <w:pPr>
        <w:pStyle w:val="Heading2"/>
      </w:pPr>
      <w:r>
        <w:t>What this means for managers</w:t>
      </w:r>
    </w:p>
    <w:p>
      <w:r>
        <w:t>Every department sets two measurable 2027 goals linked to these priorities by 15 November.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Strategy 2027 - One Pager</dc:title>
  <dc:subject/>
  <dc:creator>Daniel Reyes</dc:creator>
  <cp:keywords/>
  <dc:description>generated by python-docx</dc:description>
  <cp:lastModifiedBy>Daniel Reyes</cp:lastModifiedBy>
  <cp:revision>1</cp:revision>
  <dcterms:created xsi:type="dcterms:W3CDTF">2026-08-30T09:30:00Z</dcterms:created>
  <dcterms:modified xsi:type="dcterms:W3CDTF">2026-08-30T09:30:00Z</dcterms:modified>
  <cp:category/>
</cp:coreProperties>
</file>