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Year-end audit preparation</w:t>
      </w:r>
    </w:p>
    <w:p>
      <w:r>
        <w:t>Auditor fieldwork: 18–29 January 2027.</w:t>
      </w:r>
    </w:p>
    <w:p>
      <w:pPr>
        <w:pStyle w:val="ListBullet"/>
      </w:pPr>
      <w:r>
        <w:t>Fixed-asset register to be reconciled with IT asset inventory (Kevin).</w:t>
      </w:r>
    </w:p>
    <w:p>
      <w:pPr>
        <w:pStyle w:val="ListBullet"/>
      </w:pPr>
      <w:r>
        <w:t>Accruals for Brightline agency invoices are disputed — Julia to confirm.</w:t>
      </w:r>
    </w:p>
    <w:p>
      <w:pPr>
        <w:pStyle w:val="ListBullet"/>
      </w:pPr>
      <w:r>
        <w:t>Inventory count at the warehouse on 31 December; Carlos to provide two counters.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Year-end Audit Prep - Notes</dc:title>
  <dc:subject/>
  <dc:creator>Grace Li</dc:creator>
  <cp:keywords/>
  <dc:description>generated by python-docx</dc:description>
  <cp:lastModifiedBy>Grace Li</cp:lastModifiedBy>
  <cp:revision>1</cp:revision>
  <dcterms:created xsi:type="dcterms:W3CDTF">2026-10-01T09:30:00Z</dcterms:created>
  <dcterms:modified xsi:type="dcterms:W3CDTF">2026-10-01T09:30:00Z</dcterms:modified>
  <cp:category/>
</cp:coreProperties>
</file>