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Benefits Guide 2026</w:t>
      </w:r>
    </w:p>
    <w:p>
      <w:pPr>
        <w:pStyle w:val="Heading2"/>
      </w:pPr>
      <w:r>
        <w:t>Health insurance</w:t>
      </w:r>
    </w:p>
    <w:p>
      <w:r>
        <w:t>All permanent employees are covered from the first day of employment. Spouses and up to three children can be added at no extra cost.</w:t>
      </w:r>
    </w:p>
    <w:p>
      <w:pPr>
        <w:pStyle w:val="Heading2"/>
      </w:pPr>
      <w:r>
        <w:t>Annual leave</w:t>
      </w:r>
    </w:p>
    <w:p>
      <w:r>
        <w:t>18 days per year, plus public holidays. Up to 5 unused days can be carried over to the next year.</w:t>
      </w:r>
    </w:p>
    <w:p>
      <w:pPr>
        <w:pStyle w:val="Heading2"/>
      </w:pPr>
      <w:r>
        <w:t>Learning budget</w:t>
      </w:r>
    </w:p>
    <w:p>
      <w:r>
        <w:t>USD 600 per person per year for courses, books or conferences. Ask your manager before booking.</w:t>
      </w:r>
    </w:p>
    <w:p>
      <w:pPr>
        <w:pStyle w:val="Heading2"/>
      </w:pPr>
      <w:r>
        <w:t>Wellbeing</w:t>
      </w:r>
    </w:p>
    <w:p>
      <w:r>
        <w:t>Free counselling sessions through our employee assistance programme (6 sessions per year).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Benefits Guide 2026</dc:title>
  <dc:subject/>
  <dc:creator>Sarah Kim</dc:creator>
  <cp:keywords/>
  <dc:description>generated by python-docx</dc:description>
  <cp:lastModifiedBy>Sarah Kim</cp:lastModifiedBy>
  <cp:revision>1</cp:revision>
  <dcterms:created xsi:type="dcterms:W3CDTF">2026-02-03T09:30:00Z</dcterms:created>
  <dcterms:modified xsi:type="dcterms:W3CDTF">2026-02-03T09:30:00Z</dcterms:modified>
  <cp:category/>
</cp:coreProperties>
</file>