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F766E"/>
        </w:rPr>
        <w:t>Leave Policy 2026</w:t>
      </w:r>
    </w:p>
    <w:p>
      <w:r>
        <w:t>Annual leave must be requested in the HR portal at least two weeks in advance for periods longer than three days. Sick leave longer than two days requires a doctor's note. Parental leave follows national law plus two extra paid weeks.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Leave Policy 2026</dc:title>
  <dc:subject/>
  <dc:creator>Sarah Kim</dc:creator>
  <cp:keywords/>
  <dc:description>generated by python-docx</dc:description>
  <cp:lastModifiedBy>Sarah Kim</cp:lastModifiedBy>
  <cp:revision>1</cp:revision>
  <dcterms:created xsi:type="dcterms:W3CDTF">2026-01-10T09:30:00Z</dcterms:created>
  <dcterms:modified xsi:type="dcterms:W3CDTF">2026-01-10T09:30:00Z</dcterms:modified>
  <cp:category/>
</cp:coreProperties>
</file>