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Fleetline renewal — negotiation notes</w:t>
      </w:r>
    </w:p>
    <w:p>
      <w:r>
        <w:t>Fleetline asks for +4% from February. Our ceiling (agreed with Mark): +2%, or +3% with a 2-year term.</w:t>
      </w:r>
    </w:p>
    <w:p>
      <w:r>
        <w:t>Alternative: move 15% of north volume to CoastCarriers.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Fleetline Renewal - Negotiation Notes</dc:title>
  <dc:subject/>
  <dc:creator>Carlos Mendes</dc:creator>
  <cp:keywords/>
  <dc:description>generated by python-docx</dc:description>
  <cp:lastModifiedBy>Carlos Mendes</cp:lastModifiedBy>
  <cp:revision>1</cp:revision>
  <dcterms:created xsi:type="dcterms:W3CDTF">2026-10-13T09:30:00Z</dcterms:created>
  <dcterms:modified xsi:type="dcterms:W3CDTF">2026-10-13T09:30:00Z</dcterms:modified>
  <cp:category/>
</cp:coreProperties>
</file>