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273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0"/>
        <w:gridCol w:w="5530"/>
      </w:tblGrid>
      <w:tr w14:paraId="254E13B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0" w:type="dxa"/>
            <w:tcBorders>
              <w:top w:val="nil"/>
              <w:left w:val="nil"/>
              <w:bottom w:val="nil"/>
              <w:right w:val="nil"/>
            </w:tcBorders>
            <w:shd w:val="clear" w:color="auto" w:fill="0F1C2E"/>
            <w:tcMar>
              <w:top w:w="380" w:type="dxa"/>
              <w:left w:w="500" w:type="dxa"/>
              <w:bottom w:w="380" w:type="dxa"/>
              <w:right w:w="300" w:type="dxa"/>
            </w:tcMar>
          </w:tcPr>
          <w:p w14:paraId="5B437FB2">
            <w:pPr>
              <w:spacing w:before="0" w:after="80"/>
            </w:pPr>
            <w:bookmarkStart w:id="0" w:name="_GoBack"/>
            <w:bookmarkEnd w:id="0"/>
            <w:r>
              <w:rPr>
                <w:rFonts w:ascii="Georgia" w:hAnsi="Georgia" w:eastAsia="Georgia" w:cs="Georgia"/>
                <w:b/>
                <w:bCs/>
                <w:color w:val="FFFFFF"/>
                <w:sz w:val="58"/>
                <w:szCs w:val="58"/>
              </w:rPr>
              <w:t>Oluwatoyin Aduloju</w:t>
            </w:r>
          </w:p>
          <w:p w14:paraId="54A83AB3">
            <w:pPr>
              <w:spacing w:before="0" w:after="60"/>
            </w:pPr>
            <w:r>
              <w:rPr>
                <w:rFonts w:ascii="Calibri" w:hAnsi="Calibri" w:eastAsia="Calibri" w:cs="Calibri"/>
                <w:color w:val="C9A96E"/>
                <w:sz w:val="24"/>
                <w:szCs w:val="24"/>
              </w:rPr>
              <w:t>Virtual Assistant  ·  Executive Support Specialist</w:t>
            </w:r>
          </w:p>
          <w:p w14:paraId="46747720">
            <w:pPr>
              <w:spacing w:before="0" w:after="40"/>
            </w:pPr>
            <w:r>
              <w:rPr>
                <w:rFonts w:ascii="Calibri" w:hAnsi="Calibri" w:eastAsia="Calibri" w:cs="Calibri"/>
                <w:color w:val="8A7A60"/>
                <w:sz w:val="19"/>
                <w:szCs w:val="19"/>
              </w:rPr>
              <w:t>10+ Years  ·  Remote-Ready  ·  US · UK · EU Time Zones</w:t>
            </w:r>
          </w:p>
          <w:p w14:paraId="628D1CEB">
            <w:pPr>
              <w:pBdr>
                <w:top w:val="single" w:color="2A3F58" w:sz="4" w:space="6"/>
              </w:pBdr>
              <w:spacing w:before="30" w:after="0"/>
            </w:pPr>
            <w:r>
              <w:rPr>
                <w:rFonts w:ascii="Georgia" w:hAnsi="Georgia" w:eastAsia="Georgia" w:cs="Georgia"/>
                <w:i/>
                <w:iCs/>
                <w:color w:val="7A9CB8"/>
                <w:sz w:val="19"/>
                <w:szCs w:val="19"/>
              </w:rPr>
              <w:t>Precision. Reliability. Ownership. Results.</w:t>
            </w:r>
          </w:p>
        </w:tc>
        <w:tc>
          <w:tcPr>
            <w:tcW w:w="5530" w:type="dxa"/>
            <w:tcBorders>
              <w:top w:val="nil"/>
              <w:left w:val="nil"/>
              <w:bottom w:val="nil"/>
              <w:right w:val="nil"/>
            </w:tcBorders>
            <w:shd w:val="clear" w:color="auto" w:fill="142030"/>
            <w:tcMar>
              <w:top w:w="380" w:type="dxa"/>
              <w:left w:w="340" w:type="dxa"/>
              <w:bottom w:w="380" w:type="dxa"/>
              <w:right w:w="340" w:type="dxa"/>
            </w:tcMar>
          </w:tcPr>
          <w:p w14:paraId="178B31D3">
            <w:pPr>
              <w:spacing w:before="0" w:after="60"/>
            </w:pPr>
            <w:r>
              <w:rPr>
                <w:rFonts w:ascii="Calibri" w:hAnsi="Calibri" w:eastAsia="Calibri" w:cs="Calibri"/>
                <w:b/>
                <w:bCs/>
                <w:color w:val="C9A96E"/>
                <w:spacing w:val="100"/>
                <w:sz w:val="16"/>
                <w:szCs w:val="16"/>
              </w:rPr>
              <w:t>CONTACT DETAILS</w:t>
            </w:r>
          </w:p>
          <w:p w14:paraId="222A11C1">
            <w:pPr>
              <w:spacing w:before="20" w:after="20"/>
            </w:pPr>
            <w:r>
              <w:rPr>
                <w:rFonts w:ascii="Calibri" w:hAnsi="Calibri" w:eastAsia="Calibri" w:cs="Calibri"/>
                <w:color w:val="C9A96E"/>
                <w:sz w:val="18"/>
                <w:szCs w:val="18"/>
              </w:rPr>
              <w:t xml:space="preserve">✉  </w:t>
            </w:r>
            <w:r>
              <w:rPr>
                <w:rFonts w:ascii="Calibri" w:hAnsi="Calibri" w:eastAsia="Calibri" w:cs="Calibri"/>
                <w:color w:val="C8BFB0"/>
                <w:sz w:val="18"/>
                <w:szCs w:val="18"/>
              </w:rPr>
              <w:t>oa.aduloju@gmail.com</w:t>
            </w:r>
          </w:p>
          <w:p w14:paraId="6D37DBB8">
            <w:pPr>
              <w:spacing w:before="20" w:after="20"/>
            </w:pPr>
            <w:r>
              <w:rPr>
                <w:rFonts w:ascii="Calibri" w:hAnsi="Calibri" w:eastAsia="Calibri" w:cs="Calibri"/>
                <w:color w:val="C9A96E"/>
                <w:sz w:val="18"/>
                <w:szCs w:val="18"/>
              </w:rPr>
              <w:t xml:space="preserve">🔗  </w:t>
            </w:r>
            <w:r>
              <w:rPr>
                <w:rFonts w:ascii="Calibri" w:hAnsi="Calibri" w:eastAsia="Calibri" w:cs="Calibri"/>
                <w:color w:val="C8BFB0"/>
                <w:sz w:val="17"/>
                <w:szCs w:val="17"/>
              </w:rPr>
              <w:t>linkedin.com/in/oluwatoyin-aduloju</w:t>
            </w:r>
          </w:p>
          <w:p w14:paraId="09C97EBB">
            <w:pPr>
              <w:spacing w:before="20" w:after="20"/>
            </w:pPr>
            <w:r>
              <w:rPr>
                <w:rFonts w:ascii="Calibri" w:hAnsi="Calibri" w:eastAsia="Calibri" w:cs="Calibri"/>
                <w:color w:val="C9A96E"/>
                <w:sz w:val="18"/>
                <w:szCs w:val="18"/>
              </w:rPr>
              <w:t xml:space="preserve">💼  </w:t>
            </w:r>
            <w:r>
              <w:rPr>
                <w:rFonts w:ascii="Calibri" w:hAnsi="Calibri" w:eastAsia="Calibri" w:cs="Calibri"/>
                <w:color w:val="C9A96E"/>
                <w:sz w:val="18"/>
                <w:szCs w:val="18"/>
                <w:lang w:val="en-US"/>
              </w:rPr>
              <w:t>https://oaaduloju.github.io/</w:t>
            </w:r>
          </w:p>
          <w:p w14:paraId="1421F9F4">
            <w:pPr>
              <w:spacing w:before="20" w:after="20"/>
            </w:pPr>
            <w:r>
              <w:rPr>
                <w:rFonts w:ascii="Calibri" w:hAnsi="Calibri" w:eastAsia="Calibri" w:cs="Calibri"/>
                <w:color w:val="C9A96E"/>
                <w:sz w:val="18"/>
                <w:szCs w:val="18"/>
              </w:rPr>
              <w:t xml:space="preserve">🌍  </w:t>
            </w:r>
            <w:r>
              <w:rPr>
                <w:rFonts w:ascii="Calibri" w:hAnsi="Calibri" w:eastAsia="Calibri" w:cs="Calibri"/>
                <w:color w:val="C8BFB0"/>
                <w:sz w:val="18"/>
                <w:szCs w:val="18"/>
              </w:rPr>
              <w:t>Nigeria (Available Worldwide)</w:t>
            </w:r>
          </w:p>
          <w:p w14:paraId="4D209812">
            <w:pPr>
              <w:pBdr>
                <w:top w:val="single" w:color="2A3F58" w:sz="2" w:space="6"/>
              </w:pBdr>
              <w:spacing w:before="40" w:after="0"/>
            </w:pPr>
            <w:r>
              <w:rPr>
                <w:rFonts w:ascii="Calibri" w:hAnsi="Calibri" w:eastAsia="Calibri" w:cs="Calibri"/>
                <w:color w:val="5A9A6A"/>
                <w:sz w:val="17"/>
                <w:szCs w:val="17"/>
              </w:rPr>
              <w:t>●  Open to Remote Opportunities</w:t>
            </w:r>
          </w:p>
        </w:tc>
      </w:tr>
    </w:tbl>
    <w:p w14:paraId="63388772"/>
    <w:tbl>
      <w:tblPr>
        <w:tblStyle w:val="3"/>
        <w:tblW w:w="1311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10"/>
      </w:tblGrid>
      <w:tr w14:paraId="514E20B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900" w:type="dxa"/>
              <w:bottom w:w="0" w:type="dxa"/>
              <w:right w:w="900" w:type="dxa"/>
            </w:tcMar>
          </w:tcPr>
          <w:p w14:paraId="09A2FA77">
            <w:pPr>
              <w:pBdr>
                <w:bottom w:val="single" w:color="C9A96E" w:sz="10" w:space="5"/>
              </w:pBdr>
              <w:spacing w:before="300" w:after="80"/>
            </w:pPr>
            <w:r>
              <w:rPr>
                <w:rFonts w:ascii="Georgia" w:hAnsi="Georgia" w:eastAsia="Georgia" w:cs="Georgia"/>
                <w:b/>
                <w:bCs/>
                <w:color w:val="0F1C2E"/>
                <w:spacing w:val="80"/>
                <w:sz w:val="21"/>
                <w:szCs w:val="21"/>
              </w:rPr>
              <w:t>PROFESSIONAL PROFILE</w:t>
            </w:r>
          </w:p>
          <w:p w14:paraId="692B3791">
            <w:pPr>
              <w:spacing w:before="100" w:after="80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Highly dependable Virtual Assistant and Executive Support Specialist with over 10 years of progressive experience across sales operations, healthcare administration, and client-facing coordination. Known for bringing calm, structure, and precision to fast-moving organisations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  <w:lang w:val="en-US"/>
              </w:rPr>
              <w:t>,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whether managing complex executive schedules, maintaining flawless CRM records, or independently driving process improvements that outlast the brief.</w:t>
            </w:r>
          </w:p>
          <w:p w14:paraId="268B5733">
            <w:pPr>
              <w:spacing w:before="40" w:after="80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Consistently rated for reliability, zero-error output, and the ability to work without supervision across cross-functional teams. Fully remote-ready with a professional home office setup, stable high-speed broadband, and flexible availability across US, UK, and European time zones. Brings not just task completion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  <w:lang w:val="en-US"/>
              </w:rPr>
              <w:t>,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but proactive ownership, anticipating needs before they become problems.</w:t>
            </w:r>
          </w:p>
          <w:p w14:paraId="69B6EA5D">
            <w:pPr>
              <w:pBdr>
                <w:bottom w:val="single" w:color="C9A96E" w:sz="10" w:space="5"/>
              </w:pBdr>
              <w:spacing w:before="300" w:after="80"/>
            </w:pPr>
            <w:r>
              <w:rPr>
                <w:rFonts w:ascii="Georgia" w:hAnsi="Georgia" w:eastAsia="Georgia" w:cs="Georgia"/>
                <w:b/>
                <w:bCs/>
                <w:color w:val="0F1C2E"/>
                <w:spacing w:val="80"/>
                <w:sz w:val="21"/>
                <w:szCs w:val="21"/>
              </w:rPr>
              <w:t>CAREER HIGHLIGHTS AT A GLANCE</w:t>
            </w:r>
          </w:p>
          <w:tbl>
            <w:tblPr>
              <w:tblStyle w:val="3"/>
              <w:tblW w:w="9360" w:type="dxa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2340"/>
              <w:gridCol w:w="2340"/>
              <w:gridCol w:w="2340"/>
              <w:gridCol w:w="2340"/>
            </w:tblGrid>
            <w:tr w14:paraId="2D0EF096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2340" w:type="dxa"/>
                  <w:tcBorders>
                    <w:top w:val="single" w:color="C9A96E" w:sz="6" w:space="0"/>
                    <w:left w:val="nil"/>
                    <w:bottom w:val="nil"/>
                    <w:right w:val="nil"/>
                  </w:tcBorders>
                  <w:shd w:val="clear" w:color="auto" w:fill="F7F3EE"/>
                  <w:tcMar>
                    <w:top w:w="120" w:type="dxa"/>
                    <w:left w:w="140" w:type="dxa"/>
                    <w:bottom w:w="120" w:type="dxa"/>
                    <w:right w:w="100" w:type="dxa"/>
                  </w:tcMar>
                </w:tcPr>
                <w:p w14:paraId="59494D6D">
                  <w:pPr>
                    <w:spacing w:before="0" w:after="3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C9A96E"/>
                      <w:sz w:val="40"/>
                      <w:szCs w:val="40"/>
                    </w:rPr>
                    <w:t>40%</w:t>
                  </w:r>
                </w:p>
                <w:p w14:paraId="76626413"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5A5550"/>
                      <w:sz w:val="18"/>
                      <w:szCs w:val="18"/>
                    </w:rPr>
                    <w:t>Scheduling conflicts reduced across 3 senior managers</w:t>
                  </w:r>
                </w:p>
              </w:tc>
              <w:tc>
                <w:tcPr>
                  <w:tcW w:w="2340" w:type="dxa"/>
                  <w:tcBorders>
                    <w:top w:val="single" w:color="C9A96E" w:sz="6" w:space="0"/>
                    <w:left w:val="nil"/>
                    <w:bottom w:val="nil"/>
                    <w:right w:val="nil"/>
                  </w:tcBorders>
                  <w:shd w:val="clear" w:color="auto" w:fill="FDFCFA"/>
                  <w:tcMar>
                    <w:top w:w="120" w:type="dxa"/>
                    <w:left w:w="140" w:type="dxa"/>
                    <w:bottom w:w="120" w:type="dxa"/>
                    <w:right w:w="100" w:type="dxa"/>
                  </w:tcMar>
                </w:tcPr>
                <w:p w14:paraId="1A3729DE">
                  <w:pPr>
                    <w:spacing w:before="0" w:after="3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C9A96E"/>
                      <w:sz w:val="40"/>
                      <w:szCs w:val="40"/>
                    </w:rPr>
                    <w:t>100%</w:t>
                  </w:r>
                </w:p>
                <w:p w14:paraId="5F279359"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5A5550"/>
                      <w:sz w:val="18"/>
                      <w:szCs w:val="18"/>
                    </w:rPr>
                    <w:t>CRM data accuracy across 50+ active accounts in SAP</w:t>
                  </w:r>
                </w:p>
              </w:tc>
              <w:tc>
                <w:tcPr>
                  <w:tcW w:w="2340" w:type="dxa"/>
                  <w:tcBorders>
                    <w:top w:val="single" w:color="C9A96E" w:sz="6" w:space="0"/>
                    <w:left w:val="nil"/>
                    <w:bottom w:val="nil"/>
                    <w:right w:val="nil"/>
                  </w:tcBorders>
                  <w:shd w:val="clear" w:color="auto" w:fill="F7F3EE"/>
                  <w:tcMar>
                    <w:top w:w="120" w:type="dxa"/>
                    <w:left w:w="140" w:type="dxa"/>
                    <w:bottom w:w="120" w:type="dxa"/>
                    <w:right w:w="100" w:type="dxa"/>
                  </w:tcMar>
                </w:tcPr>
                <w:p w14:paraId="3B4F09B7">
                  <w:pPr>
                    <w:spacing w:before="0" w:after="3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C9A96E"/>
                      <w:sz w:val="40"/>
                      <w:szCs w:val="40"/>
                    </w:rPr>
                    <w:t>Zero</w:t>
                  </w:r>
                </w:p>
                <w:p w14:paraId="664F8198"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5A5550"/>
                      <w:sz w:val="18"/>
                      <w:szCs w:val="18"/>
                    </w:rPr>
                    <w:t>Escalations in 2+ years of cross-departmental coordination</w:t>
                  </w:r>
                </w:p>
              </w:tc>
              <w:tc>
                <w:tcPr>
                  <w:tcW w:w="2340" w:type="dxa"/>
                  <w:tcBorders>
                    <w:top w:val="single" w:color="C9A96E" w:sz="6" w:space="0"/>
                    <w:left w:val="nil"/>
                    <w:bottom w:val="nil"/>
                    <w:right w:val="nil"/>
                  </w:tcBorders>
                  <w:shd w:val="clear" w:color="auto" w:fill="FDFCFA"/>
                  <w:tcMar>
                    <w:top w:w="120" w:type="dxa"/>
                    <w:left w:w="140" w:type="dxa"/>
                    <w:bottom w:w="120" w:type="dxa"/>
                    <w:right w:w="100" w:type="dxa"/>
                  </w:tcMar>
                </w:tcPr>
                <w:p w14:paraId="5A7A061A">
                  <w:pPr>
                    <w:spacing w:before="0" w:after="3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C9A96E"/>
                      <w:sz w:val="40"/>
                      <w:szCs w:val="40"/>
                    </w:rPr>
                    <w:t>15%</w:t>
                  </w:r>
                </w:p>
                <w:p w14:paraId="6B3C6732"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5A5550"/>
                      <w:sz w:val="18"/>
                      <w:szCs w:val="18"/>
                    </w:rPr>
                    <w:t>Order delays cut via self-designed audit system adopted company-wide</w:t>
                  </w:r>
                </w:p>
              </w:tc>
            </w:tr>
          </w:tbl>
          <w:p w14:paraId="1DDEE4D5">
            <w:pPr>
              <w:pBdr>
                <w:bottom w:val="single" w:color="C9A96E" w:sz="10" w:space="5"/>
              </w:pBdr>
              <w:spacing w:before="300" w:after="80"/>
            </w:pPr>
            <w:r>
              <w:rPr>
                <w:rFonts w:ascii="Georgia" w:hAnsi="Georgia" w:eastAsia="Georgia" w:cs="Georgia"/>
                <w:b/>
                <w:bCs/>
                <w:color w:val="0F1C2E"/>
                <w:spacing w:val="80"/>
                <w:sz w:val="21"/>
                <w:szCs w:val="21"/>
              </w:rPr>
              <w:t>PROFESSIONAL EXPERIENCE</w:t>
            </w:r>
          </w:p>
          <w:tbl>
            <w:tblPr>
              <w:tblStyle w:val="3"/>
              <w:tblW w:w="9360" w:type="dxa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200"/>
              <w:gridCol w:w="3160"/>
            </w:tblGrid>
            <w:tr w14:paraId="0232FACD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2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BB67BD">
                  <w:pPr>
                    <w:spacing w:before="200" w:after="2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0F1C2E"/>
                      <w:sz w:val="25"/>
                      <w:szCs w:val="25"/>
                    </w:rPr>
                    <w:t>Virtual Assistant &amp; Executive Support Specialist</w:t>
                  </w:r>
                </w:p>
                <w:p w14:paraId="47E6AD64">
                  <w:pPr>
                    <w:spacing w:before="0" w:after="2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B8904A"/>
                      <w:sz w:val="19"/>
                      <w:szCs w:val="19"/>
                    </w:rPr>
                    <w:t>Givanas Cosmetics Nigeria Limited</w:t>
                  </w:r>
                  <w:r>
                    <w:rPr>
                      <w:rFonts w:ascii="Calibri" w:hAnsi="Calibri" w:eastAsia="Calibri" w:cs="Calibri"/>
                      <w:color w:val="7A7570"/>
                      <w:sz w:val="18"/>
                      <w:szCs w:val="18"/>
                    </w:rPr>
                    <w:t xml:space="preserve">  ·  Remote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D866B95">
                  <w:pPr>
                    <w:spacing w:before="200" w:after="0"/>
                    <w:jc w:val="righ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9A96E"/>
                      <w:sz w:val="19"/>
                      <w:szCs w:val="19"/>
                    </w:rPr>
                    <w:t>2022 – Present</w:t>
                  </w:r>
                </w:p>
              </w:tc>
            </w:tr>
          </w:tbl>
          <w:p w14:paraId="0352A1A6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Reduced scheduling conflicts by </w:t>
            </w:r>
            <w:r>
              <w:rPr>
                <w:rFonts w:ascii="Calibri" w:hAnsi="Calibri" w:eastAsia="Calibri" w:cs="Calibri"/>
                <w:b/>
                <w:bCs/>
                <w:color w:val="0F1C2E"/>
                <w:sz w:val="20"/>
                <w:szCs w:val="20"/>
              </w:rPr>
              <w:t>40%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managing calendars for 3 Regional Sales Managers through standardised booking protocols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  <w:lang w:val="en-US"/>
              </w:rPr>
              <w:t>,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eliminating double-bookings and improving leadership productivity.</w:t>
            </w:r>
          </w:p>
          <w:p w14:paraId="25D59ADB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Maintained </w:t>
            </w:r>
            <w:r>
              <w:rPr>
                <w:rFonts w:ascii="Calibri" w:hAnsi="Calibri" w:eastAsia="Calibri" w:cs="Calibri"/>
                <w:b/>
                <w:bCs/>
                <w:color w:val="0F1C2E"/>
                <w:sz w:val="20"/>
                <w:szCs w:val="20"/>
              </w:rPr>
              <w:t>100%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SAP CRM data accuracy across 50+ active accounts; built weekly performance dashboards adopted directly by leadership for sales strategy and client retention planning.</w:t>
            </w:r>
          </w:p>
          <w:p w14:paraId="204761DA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Streamlined new account onboarding by redesigning document management and order-verification workflows, removing manual bottlenecks and accelerating first-order delivery timelines.</w:t>
            </w:r>
          </w:p>
          <w:p w14:paraId="6DA710D5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Served as the sole cross-departmental liaison across Marketing, Field Sales, and Finance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  <w:lang w:val="en-US"/>
              </w:rPr>
              <w:t>,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resolving 20+ queries weekly with </w:t>
            </w:r>
            <w:r>
              <w:rPr>
                <w:rFonts w:ascii="Calibri" w:hAnsi="Calibri" w:eastAsia="Calibri" w:cs="Calibri"/>
                <w:b/>
                <w:bCs/>
                <w:color w:val="0F1C2E"/>
                <w:sz w:val="20"/>
                <w:szCs w:val="20"/>
              </w:rPr>
              <w:t>zero escalations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sustained over 2+ years.</w:t>
            </w:r>
          </w:p>
          <w:p w14:paraId="6160E97F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Monitored weekly account health data to proactively flag at-risk clients and coordinate targeted retention interventions, contributing to improved quarter-on-quarter retention rates.</w:t>
            </w:r>
          </w:p>
          <w:p w14:paraId="49610D0B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Produced zero-error executive briefing notes, client communications, and meeting agendas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maintaining a flawless accuracy record across all outgoing correspondence.</w:t>
            </w:r>
          </w:p>
          <w:p w14:paraId="470AAC40">
            <w:pPr>
              <w:pBdr>
                <w:bottom w:val="single" w:color="E5DFD8" w:sz="2" w:space="1"/>
              </w:pBdr>
              <w:spacing w:before="60" w:after="100"/>
            </w:pPr>
          </w:p>
          <w:tbl>
            <w:tblPr>
              <w:tblStyle w:val="3"/>
              <w:tblW w:w="9360" w:type="dxa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200"/>
              <w:gridCol w:w="3160"/>
            </w:tblGrid>
            <w:tr w14:paraId="3C88EEBC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2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C6D4D3">
                  <w:pPr>
                    <w:spacing w:before="200" w:after="2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0F1C2E"/>
                      <w:sz w:val="25"/>
                      <w:szCs w:val="25"/>
                    </w:rPr>
                    <w:t>Senior Administrative &amp; Retention Coordinator</w:t>
                  </w:r>
                </w:p>
                <w:p w14:paraId="0249B80A">
                  <w:pPr>
                    <w:spacing w:before="0" w:after="2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B8904A"/>
                      <w:sz w:val="19"/>
                      <w:szCs w:val="19"/>
                    </w:rPr>
                    <w:t>Elkris Bio Health Foods Nigeria Limited</w:t>
                  </w:r>
                  <w:r>
                    <w:rPr>
                      <w:rFonts w:ascii="Calibri" w:hAnsi="Calibri" w:eastAsia="Calibri" w:cs="Calibri"/>
                      <w:color w:val="7A7570"/>
                      <w:sz w:val="18"/>
                      <w:szCs w:val="18"/>
                    </w:rPr>
                    <w:t xml:space="preserve">  ·  On-site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3C95162">
                  <w:pPr>
                    <w:spacing w:before="200" w:after="0"/>
                    <w:jc w:val="righ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9A96E"/>
                      <w:sz w:val="19"/>
                      <w:szCs w:val="19"/>
                    </w:rPr>
                    <w:t>2013 – 2022</w:t>
                  </w:r>
                </w:p>
              </w:tc>
            </w:tr>
          </w:tbl>
          <w:p w14:paraId="1A9AE6EF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Independently designed a pre-entry audit system that reduced order-processing delays by </w:t>
            </w:r>
            <w:r>
              <w:rPr>
                <w:rFonts w:ascii="Calibri" w:hAnsi="Calibri" w:eastAsia="Calibri" w:cs="Calibri"/>
                <w:b/>
                <w:bCs/>
                <w:color w:val="0F1C2E"/>
                <w:sz w:val="20"/>
                <w:szCs w:val="20"/>
              </w:rPr>
              <w:t>15%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by catching discrepancies before submission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subsequently adopted company-wide as the new standard operating procedure.</w:t>
            </w:r>
          </w:p>
          <w:p w14:paraId="57F024E9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Managed </w:t>
            </w:r>
            <w:r>
              <w:rPr>
                <w:rFonts w:ascii="Calibri" w:hAnsi="Calibri" w:eastAsia="Calibri" w:cs="Calibri"/>
                <w:b/>
                <w:bCs/>
                <w:color w:val="0F1C2E"/>
                <w:sz w:val="20"/>
                <w:szCs w:val="20"/>
              </w:rPr>
              <w:t>100+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recurring accounts over a 9-year tenure with near-zero fulfilment errors, directly supporting long-term client loyalty, repeat business, and revenue stability.</w:t>
            </w:r>
          </w:p>
          <w:p w14:paraId="3E301602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Produced year-on-year sales trend reports that enabled the sales team to identify underperforming accounts early and recover an estimated 10–12 clients annually before churn.</w:t>
            </w:r>
          </w:p>
          <w:p w14:paraId="06AC9F11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Restructured depot scheduling to optimise last-mile dispatch operations, reducing delivery lead times and significantly reducing post-delivery complaint volumes.</w:t>
            </w:r>
          </w:p>
          <w:p w14:paraId="2C38EAD5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Maintained audit-ready client documentation at </w:t>
            </w:r>
            <w:r>
              <w:rPr>
                <w:rFonts w:ascii="Calibri" w:hAnsi="Calibri" w:eastAsia="Calibri" w:cs="Calibri"/>
                <w:b/>
                <w:bCs/>
                <w:color w:val="0F1C2E"/>
                <w:sz w:val="20"/>
                <w:szCs w:val="20"/>
              </w:rPr>
              <w:t>100%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record accuracy throughout tenure, enabling seamless compliance reviews with zero outstanding discrepancies.</w:t>
            </w:r>
          </w:p>
          <w:p w14:paraId="16492674">
            <w:pPr>
              <w:pBdr>
                <w:bottom w:val="single" w:color="E5DFD8" w:sz="2" w:space="1"/>
              </w:pBdr>
              <w:spacing w:before="60" w:after="100"/>
            </w:pPr>
          </w:p>
          <w:tbl>
            <w:tblPr>
              <w:tblStyle w:val="3"/>
              <w:tblW w:w="9360" w:type="dxa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6200"/>
              <w:gridCol w:w="3160"/>
            </w:tblGrid>
            <w:tr w14:paraId="031187C6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620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38DEF6D">
                  <w:pPr>
                    <w:spacing w:before="200" w:after="2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0F1C2E"/>
                      <w:sz w:val="25"/>
                      <w:szCs w:val="25"/>
                    </w:rPr>
                    <w:t>Accounts &amp; Administrative Officer</w:t>
                  </w:r>
                </w:p>
                <w:p w14:paraId="0BFE6CE8">
                  <w:pPr>
                    <w:spacing w:before="0" w:after="2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B8904A"/>
                      <w:sz w:val="19"/>
                      <w:szCs w:val="19"/>
                    </w:rPr>
                    <w:t>Primex Hospital</w:t>
                  </w:r>
                  <w:r>
                    <w:rPr>
                      <w:rFonts w:ascii="Calibri" w:hAnsi="Calibri" w:eastAsia="Calibri" w:cs="Calibri"/>
                      <w:color w:val="7A7570"/>
                      <w:sz w:val="18"/>
                      <w:szCs w:val="18"/>
                    </w:rPr>
                    <w:t xml:space="preserve">  ·  On-site</w:t>
                  </w:r>
                </w:p>
              </w:tc>
              <w:tc>
                <w:tcPr>
                  <w:tcW w:w="3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743569F">
                  <w:pPr>
                    <w:spacing w:before="200" w:after="0"/>
                    <w:jc w:val="righ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9A96E"/>
                      <w:sz w:val="19"/>
                      <w:szCs w:val="19"/>
                    </w:rPr>
                    <w:t>2008 – 2013</w:t>
                  </w:r>
                </w:p>
              </w:tc>
            </w:tr>
          </w:tbl>
          <w:p w14:paraId="28F17860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Processed daily financial records and managed accounts payable/receivable for a multi-department healthcare facility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  <w:lang w:val="en-US"/>
              </w:rPr>
              <w:t>,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achieving </w:t>
            </w:r>
            <w:r>
              <w:rPr>
                <w:rFonts w:ascii="Calibri" w:hAnsi="Calibri" w:eastAsia="Calibri" w:cs="Calibri"/>
                <w:b/>
                <w:bCs/>
                <w:color w:val="0F1C2E"/>
                <w:sz w:val="20"/>
                <w:szCs w:val="20"/>
              </w:rPr>
              <w:t>zero discrepancies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across a full 5-year tenure.</w:t>
            </w:r>
          </w:p>
          <w:p w14:paraId="4F280F6A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Coordinated monthly payroll for 30+ members of staff with </w:t>
            </w:r>
            <w:r>
              <w:rPr>
                <w:rFonts w:ascii="Calibri" w:hAnsi="Calibri" w:eastAsia="Calibri" w:cs="Calibri"/>
                <w:b/>
                <w:bCs/>
                <w:color w:val="0F1C2E"/>
                <w:sz w:val="20"/>
                <w:szCs w:val="20"/>
              </w:rPr>
              <w:t>100%</w:t>
            </w: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 xml:space="preserve"> on-time payment accuracy, while maintaining complete and confidential personnel records throughout.</w:t>
            </w:r>
          </w:p>
          <w:p w14:paraId="13546919">
            <w:pPr>
              <w:pStyle w:val="17"/>
              <w:numPr>
                <w:ilvl w:val="0"/>
                <w:numId w:val="1"/>
              </w:numPr>
              <w:spacing w:before="35" w:after="35"/>
            </w:pPr>
            <w:r>
              <w:rPr>
                <w:rFonts w:ascii="Calibri" w:hAnsi="Calibri" w:eastAsia="Calibri" w:cs="Calibri"/>
                <w:color w:val="2C2C2C"/>
                <w:sz w:val="20"/>
                <w:szCs w:val="20"/>
              </w:rPr>
              <w:t>Supported the finance department in maintaining compliance-ready documentation and contributed to smooth internal audits with full record integrity.</w:t>
            </w:r>
          </w:p>
          <w:p w14:paraId="23F50069">
            <w:pPr>
              <w:pBdr>
                <w:bottom w:val="single" w:color="C9A96E" w:sz="10" w:space="5"/>
              </w:pBdr>
              <w:spacing w:before="300" w:after="80"/>
            </w:pPr>
            <w:r>
              <w:rPr>
                <w:rFonts w:ascii="Georgia" w:hAnsi="Georgia" w:eastAsia="Georgia" w:cs="Georgia"/>
                <w:b/>
                <w:bCs/>
                <w:color w:val="0F1C2E"/>
                <w:spacing w:val="80"/>
                <w:sz w:val="21"/>
                <w:szCs w:val="21"/>
              </w:rPr>
              <w:t>CORE COMPETENCIES &amp; TOOLS</w:t>
            </w:r>
          </w:p>
          <w:tbl>
            <w:tblPr>
              <w:tblStyle w:val="3"/>
              <w:tblW w:w="11310" w:type="dxa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990"/>
              <w:gridCol w:w="1860"/>
              <w:gridCol w:w="2520"/>
              <w:gridCol w:w="2160"/>
              <w:gridCol w:w="2780"/>
            </w:tblGrid>
            <w:tr w14:paraId="0378E868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19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0" w:type="dxa"/>
                    <w:bottom w:w="80" w:type="dxa"/>
                    <w:right w:w="80" w:type="dxa"/>
                  </w:tcMar>
                </w:tcPr>
                <w:p w14:paraId="25C62380">
                  <w:pPr>
                    <w:pBdr>
                      <w:bottom w:val="single" w:color="C9A96E" w:sz="4" w:space="4"/>
                    </w:pBdr>
                    <w:spacing w:before="0" w:after="6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F1C2E"/>
                      <w:spacing w:val="40"/>
                      <w:sz w:val="16"/>
                      <w:szCs w:val="16"/>
                    </w:rPr>
                    <w:t>EXECUTIVE SUPPORT</w:t>
                  </w:r>
                </w:p>
                <w:p w14:paraId="6AC13301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Calendar &amp; Schedule Management</w:t>
                  </w:r>
                </w:p>
                <w:p w14:paraId="7E168CC4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Email &amp; Inbox Management</w:t>
                  </w:r>
                </w:p>
                <w:p w14:paraId="231FA3F0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Executive Briefing Notes</w:t>
                  </w:r>
                </w:p>
                <w:p w14:paraId="52E06C38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Meeting &amp; Event Coordination</w:t>
                  </w:r>
                </w:p>
                <w:p w14:paraId="6C4BA7EF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Travel Scheduling</w:t>
                  </w:r>
                </w:p>
                <w:p w14:paraId="404EB45F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Stakeholder Communication</w:t>
                  </w:r>
                </w:p>
              </w:tc>
              <w:tc>
                <w:tcPr>
                  <w:tcW w:w="18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0" w:type="dxa"/>
                    <w:bottom w:w="80" w:type="dxa"/>
                    <w:right w:w="80" w:type="dxa"/>
                  </w:tcMar>
                </w:tcPr>
                <w:p w14:paraId="4D1227E6">
                  <w:pPr>
                    <w:pBdr>
                      <w:bottom w:val="single" w:color="C9A96E" w:sz="4" w:space="4"/>
                    </w:pBdr>
                    <w:spacing w:before="0" w:after="6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F1C2E"/>
                      <w:spacing w:val="40"/>
                      <w:sz w:val="16"/>
                      <w:szCs w:val="16"/>
                    </w:rPr>
                    <w:t>DATA &amp; CRM</w:t>
                  </w:r>
                </w:p>
                <w:p w14:paraId="5CD495B9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SAP CRM Administration</w:t>
                  </w:r>
                </w:p>
                <w:p w14:paraId="46AB467E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Data Entry &amp; Quality Control</w:t>
                  </w:r>
                </w:p>
                <w:p w14:paraId="7C19542B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Performance Dashboard Reporting</w:t>
                  </w:r>
                </w:p>
                <w:p w14:paraId="228137D0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Account Health Monitoring</w:t>
                  </w:r>
                </w:p>
                <w:p w14:paraId="23FA03A5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Database Management</w:t>
                  </w:r>
                </w:p>
                <w:p w14:paraId="2FD6131B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Client Retention Tracking</w:t>
                  </w:r>
                </w:p>
              </w:tc>
              <w:tc>
                <w:tcPr>
                  <w:tcW w:w="25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0" w:type="dxa"/>
                    <w:bottom w:w="80" w:type="dxa"/>
                    <w:right w:w="80" w:type="dxa"/>
                  </w:tcMar>
                </w:tcPr>
                <w:p w14:paraId="56EE183B">
                  <w:pPr>
                    <w:pBdr>
                      <w:bottom w:val="single" w:color="C9A96E" w:sz="4" w:space="4"/>
                    </w:pBdr>
                    <w:spacing w:before="0" w:after="6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F1C2E"/>
                      <w:spacing w:val="40"/>
                      <w:sz w:val="16"/>
                      <w:szCs w:val="16"/>
                    </w:rPr>
                    <w:t>OPERATIONS</w:t>
                  </w:r>
                </w:p>
                <w:p w14:paraId="549B35AA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Cross-functional Coordination</w:t>
                  </w:r>
                </w:p>
                <w:p w14:paraId="2ABC277D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Document &amp; File Management</w:t>
                  </w:r>
                </w:p>
                <w:p w14:paraId="0C90DA5C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Process Design &amp; Improvement</w:t>
                  </w:r>
                </w:p>
                <w:p w14:paraId="6D888651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Audit Trail Maintenance</w:t>
                  </w:r>
                </w:p>
                <w:p w14:paraId="28C3072E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Order Processing &amp; Verification</w:t>
                  </w:r>
                </w:p>
                <w:p w14:paraId="6A0BC0C1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Project &amp; Task Coordination</w:t>
                  </w:r>
                </w:p>
              </w:tc>
              <w:tc>
                <w:tcPr>
                  <w:tcW w:w="216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0" w:type="dxa"/>
                    <w:bottom w:w="80" w:type="dxa"/>
                    <w:right w:w="80" w:type="dxa"/>
                  </w:tcMar>
                </w:tcPr>
                <w:p w14:paraId="2C0CB954">
                  <w:pPr>
                    <w:pBdr>
                      <w:bottom w:val="single" w:color="C9A96E" w:sz="4" w:space="4"/>
                    </w:pBdr>
                    <w:spacing w:before="0" w:after="6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F1C2E"/>
                      <w:spacing w:val="40"/>
                      <w:sz w:val="16"/>
                      <w:szCs w:val="16"/>
                    </w:rPr>
                    <w:t>FINANCE &amp; ADMIN</w:t>
                  </w:r>
                </w:p>
                <w:p w14:paraId="7E3A2EC1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Accounts Payable &amp; Receivable</w:t>
                  </w:r>
                </w:p>
                <w:p w14:paraId="3EBCFB45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Payroll Administration</w:t>
                  </w:r>
                </w:p>
                <w:p w14:paraId="6E6007EA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Financial Record Keeping</w:t>
                  </w:r>
                </w:p>
                <w:p w14:paraId="723F5227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Microsoft Office Suite</w:t>
                  </w:r>
                </w:p>
                <w:p w14:paraId="15F0ACAE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Async Remote Communication</w:t>
                  </w:r>
                </w:p>
                <w:p w14:paraId="523A75A2">
                  <w:pPr>
                    <w:spacing w:before="30" w:after="30"/>
                    <w:jc w:val="left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Confidential Records Management</w:t>
                  </w:r>
                </w:p>
              </w:tc>
              <w:tc>
                <w:tcPr>
                  <w:tcW w:w="27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0" w:type="dxa"/>
                    <w:bottom w:w="80" w:type="dxa"/>
                    <w:right w:w="80" w:type="dxa"/>
                  </w:tcMar>
                </w:tcPr>
                <w:p w14:paraId="0D5E0F91">
                  <w:pPr>
                    <w:pBdr>
                      <w:bottom w:val="single" w:color="C9A96E" w:sz="4" w:space="4"/>
                    </w:pBdr>
                    <w:spacing w:before="0" w:after="60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0F1C2E"/>
                      <w:spacing w:val="40"/>
                      <w:sz w:val="16"/>
                      <w:szCs w:val="16"/>
                    </w:rPr>
                    <w:t>TOOLS &amp; PLATFORMS</w:t>
                  </w:r>
                </w:p>
                <w:p w14:paraId="647E8E32">
                  <w:pPr>
                    <w:spacing w:before="30" w:after="3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Gmail &amp; Google Workspace</w:t>
                  </w:r>
                </w:p>
                <w:p w14:paraId="4D4B52C3">
                  <w:pPr>
                    <w:spacing w:before="30" w:after="3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Google Docs &amp; Google Calendar</w:t>
                  </w:r>
                </w:p>
                <w:p w14:paraId="4D318D39">
                  <w:pPr>
                    <w:spacing w:before="30" w:after="3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Microsoft Office Suite</w:t>
                  </w:r>
                </w:p>
                <w:p w14:paraId="0143BA3A">
                  <w:pPr>
                    <w:spacing w:before="30" w:after="3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SAP CRM</w:t>
                  </w:r>
                </w:p>
                <w:p w14:paraId="1B38AE4C">
                  <w:pPr>
                    <w:spacing w:before="30" w:after="3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Trello</w:t>
                  </w:r>
                </w:p>
                <w:p w14:paraId="55A51C70">
                  <w:pPr>
                    <w:spacing w:before="30" w:after="3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Asana</w:t>
                  </w:r>
                </w:p>
                <w:p w14:paraId="41975E25">
                  <w:pPr>
                    <w:spacing w:before="30" w:after="3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 xml:space="preserve">–  </w:t>
                  </w:r>
                  <w:r>
                    <w:rPr>
                      <w:rFonts w:ascii="Calibri" w:hAnsi="Calibri" w:eastAsia="Calibri" w:cs="Calibri"/>
                      <w:color w:val="2C2C2C"/>
                      <w:sz w:val="19"/>
                      <w:szCs w:val="19"/>
                    </w:rPr>
                    <w:t>Notion</w:t>
                  </w:r>
                </w:p>
              </w:tc>
            </w:tr>
          </w:tbl>
          <w:p w14:paraId="490C22B2">
            <w:pPr>
              <w:pBdr>
                <w:bottom w:val="single" w:color="C9A96E" w:sz="10" w:space="5"/>
              </w:pBdr>
              <w:spacing w:before="300" w:after="80"/>
            </w:pPr>
            <w:r>
              <w:rPr>
                <w:rFonts w:ascii="Georgia" w:hAnsi="Georgia" w:eastAsia="Georgia" w:cs="Georgia"/>
                <w:b/>
                <w:bCs/>
                <w:color w:val="0F1C2E"/>
                <w:spacing w:val="80"/>
                <w:sz w:val="21"/>
                <w:szCs w:val="21"/>
              </w:rPr>
              <w:t>EDUCATION</w:t>
            </w:r>
          </w:p>
          <w:tbl>
            <w:tblPr>
              <w:tblStyle w:val="3"/>
              <w:tblW w:w="9360" w:type="dxa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680"/>
              <w:gridCol w:w="4680"/>
            </w:tblGrid>
            <w:tr w14:paraId="34B31668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single" w:color="E5DFD8" w:sz="2" w:space="0"/>
                  </w:tcBorders>
                  <w:tcMar>
                    <w:top w:w="80" w:type="dxa"/>
                    <w:left w:w="0" w:type="dxa"/>
                    <w:bottom w:w="80" w:type="dxa"/>
                    <w:right w:w="200" w:type="dxa"/>
                  </w:tcMar>
                </w:tcPr>
                <w:p w14:paraId="1B690F4B">
                  <w:pPr>
                    <w:spacing w:before="60" w:after="2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0F1C2E"/>
                      <w:sz w:val="22"/>
                      <w:szCs w:val="22"/>
                    </w:rPr>
                    <w:t>HND Banking &amp; Finance</w:t>
                  </w:r>
                </w:p>
                <w:p w14:paraId="1C607A53">
                  <w:pPr>
                    <w:spacing w:before="0" w:after="20"/>
                  </w:pPr>
                  <w:r>
                    <w:rPr>
                      <w:rFonts w:ascii="Calibri" w:hAnsi="Calibri" w:eastAsia="Calibri" w:cs="Calibri"/>
                      <w:i/>
                      <w:iCs/>
                      <w:color w:val="7A7570"/>
                      <w:sz w:val="19"/>
                      <w:szCs w:val="19"/>
                    </w:rPr>
                    <w:t>Rufus Giwa Polytechnic</w:t>
                  </w:r>
                </w:p>
                <w:p w14:paraId="7B7D14A9"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>Higher National Diploma</w:t>
                  </w:r>
                </w:p>
              </w:tc>
              <w:tc>
                <w:tcPr>
                  <w:tcW w:w="46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200" w:type="dxa"/>
                    <w:bottom w:w="80" w:type="dxa"/>
                    <w:right w:w="0" w:type="dxa"/>
                  </w:tcMar>
                </w:tcPr>
                <w:p w14:paraId="58A0457B">
                  <w:pPr>
                    <w:spacing w:before="60" w:after="2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0F1C2E"/>
                      <w:sz w:val="22"/>
                      <w:szCs w:val="22"/>
                    </w:rPr>
                    <w:t>OND Banking &amp; Finance</w:t>
                  </w:r>
                </w:p>
                <w:p w14:paraId="5F2CF870">
                  <w:pPr>
                    <w:spacing w:before="0" w:after="20"/>
                  </w:pPr>
                  <w:r>
                    <w:rPr>
                      <w:rFonts w:ascii="Calibri" w:hAnsi="Calibri" w:eastAsia="Calibri" w:cs="Calibri"/>
                      <w:i/>
                      <w:iCs/>
                      <w:color w:val="7A7570"/>
                      <w:sz w:val="19"/>
                      <w:szCs w:val="19"/>
                    </w:rPr>
                    <w:t>Ibadan Polytechnic</w:t>
                  </w:r>
                </w:p>
                <w:p w14:paraId="2029FD30"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color w:val="C9A96E"/>
                      <w:sz w:val="18"/>
                      <w:szCs w:val="18"/>
                    </w:rPr>
                    <w:t>Ordinary National Diploma</w:t>
                  </w:r>
                </w:p>
              </w:tc>
            </w:tr>
          </w:tbl>
          <w:p w14:paraId="7425DB0D">
            <w:pPr>
              <w:pBdr>
                <w:bottom w:val="single" w:color="C9A96E" w:sz="10" w:space="5"/>
              </w:pBdr>
              <w:spacing w:before="300" w:after="80"/>
            </w:pPr>
            <w:r>
              <w:rPr>
                <w:rFonts w:ascii="Georgia" w:hAnsi="Georgia" w:eastAsia="Georgia" w:cs="Georgia"/>
                <w:b/>
                <w:bCs/>
                <w:color w:val="0F1C2E"/>
                <w:spacing w:val="80"/>
                <w:sz w:val="21"/>
                <w:szCs w:val="21"/>
              </w:rPr>
              <w:t>CERTIFICATIONS</w:t>
            </w:r>
          </w:p>
          <w:tbl>
            <w:tblPr>
              <w:tblStyle w:val="3"/>
              <w:tblW w:w="9360" w:type="dxa"/>
              <w:tblInd w:w="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8344"/>
              <w:gridCol w:w="1016"/>
            </w:tblGrid>
            <w:tr w14:paraId="6AFFC5A9">
              <w:tblPrEx>
                <w:tblBorders>
                  <w:top w:val="none" w:color="FFFFFF" w:sz="0" w:space="0"/>
                  <w:left w:val="none" w:color="FFFFFF" w:sz="0" w:space="0"/>
                  <w:bottom w:val="none" w:color="FFFFFF" w:sz="0" w:space="0"/>
                  <w:right w:val="none" w:color="FFFFFF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</w:tcPr>
                <w:p w14:paraId="4FB94EED">
                  <w:pPr>
                    <w:spacing w:before="80" w:after="20"/>
                  </w:pPr>
                  <w:r>
                    <w:rPr>
                      <w:rFonts w:ascii="Georgia" w:hAnsi="Georgia" w:eastAsia="Georgia" w:cs="Georgia"/>
                      <w:b/>
                      <w:bCs/>
                      <w:color w:val="0F1C2E"/>
                      <w:sz w:val="21"/>
                      <w:szCs w:val="21"/>
                    </w:rPr>
                    <w:t>Workplace Fundamental Skills</w:t>
                  </w:r>
                </w:p>
                <w:p w14:paraId="36AF95C7">
                  <w:pPr>
                    <w:spacing w:before="0" w:after="0"/>
                  </w:pPr>
                  <w:r>
                    <w:rPr>
                      <w:rFonts w:ascii="Calibri" w:hAnsi="Calibri" w:eastAsia="Calibri" w:cs="Calibri"/>
                      <w:i/>
                      <w:iCs/>
                      <w:color w:val="7A7570"/>
                      <w:sz w:val="19"/>
                      <w:szCs w:val="19"/>
                    </w:rPr>
                    <w:t>i-Train Africa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0" w:type="dxa"/>
                    <w:bottom w:w="80" w:type="dxa"/>
                    <w:right w:w="0" w:type="dxa"/>
                  </w:tcMar>
                </w:tcPr>
                <w:p w14:paraId="5BE6025B">
                  <w:pPr>
                    <w:spacing w:before="80" w:after="0"/>
                    <w:jc w:val="right"/>
                  </w:pPr>
                  <w:r>
                    <w:rPr>
                      <w:rFonts w:ascii="Calibri" w:hAnsi="Calibri" w:eastAsia="Calibri" w:cs="Calibri"/>
                      <w:b/>
                      <w:bCs/>
                      <w:color w:val="C9A96E"/>
                      <w:sz w:val="18"/>
                      <w:szCs w:val="18"/>
                    </w:rPr>
                    <w:t xml:space="preserve"> 2026</w:t>
                  </w:r>
                </w:p>
              </w:tc>
            </w:tr>
          </w:tbl>
          <w:p w14:paraId="7F2610DE">
            <w:pPr>
              <w:pBdr>
                <w:bottom w:val="single" w:color="C9A96E" w:sz="10" w:space="5"/>
              </w:pBdr>
              <w:spacing w:before="300" w:after="80"/>
            </w:pPr>
            <w:r>
              <w:rPr>
                <w:rFonts w:ascii="Georgia" w:hAnsi="Georgia" w:eastAsia="Georgia" w:cs="Georgia"/>
                <w:b/>
                <w:bCs/>
                <w:color w:val="0F1C2E"/>
                <w:spacing w:val="80"/>
                <w:sz w:val="21"/>
                <w:szCs w:val="21"/>
              </w:rPr>
              <w:t>REFERENCES</w:t>
            </w:r>
          </w:p>
          <w:p w14:paraId="5EDA01A7">
            <w:pPr>
              <w:spacing w:before="80" w:after="80"/>
            </w:pPr>
            <w:r>
              <w:rPr>
                <w:rFonts w:ascii="Calibri" w:hAnsi="Calibri" w:eastAsia="Calibri" w:cs="Calibri"/>
                <w:i/>
                <w:iCs/>
                <w:color w:val="7A7570"/>
                <w:sz w:val="20"/>
                <w:szCs w:val="20"/>
              </w:rPr>
              <w:t>Professional references available on request.</w:t>
            </w:r>
          </w:p>
        </w:tc>
      </w:tr>
    </w:tbl>
    <w:p w14:paraId="474C8E13"/>
    <w:sectPr>
      <w:pgSz w:w="12240" w:h="15840"/>
      <w:pgMar w:top="0" w:right="0" w:bottom="900" w:left="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singleLevel"/>
    <w:tmpl w:val="00000001"/>
    <w:lvl w:ilvl="0" w:tentative="0">
      <w:start w:val="1"/>
      <w:numFmt w:val="bullet"/>
      <w:lvlText w:val="▪"/>
      <w:lvlJc w:val="left"/>
      <w:pPr>
        <w:ind w:left="460" w:hanging="280"/>
      </w:pPr>
      <w:rPr>
        <w:rFonts w:ascii="Calibri" w:hAnsi="Calibri" w:eastAsia="Calibri" w:cs="Calibri"/>
        <w:color w:val="C9A96E"/>
        <w:sz w:val="18"/>
        <w:szCs w:val="18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8B2524F"/>
    <w:rsid w:val="7D3B12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Calibri" w:cs="Calibri"/>
      <w:color w:val="2C2C2C"/>
      <w:sz w:val="21"/>
      <w:szCs w:val="20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ndnote reference"/>
    <w:qFormat/>
    <w:uiPriority w:val="99"/>
    <w:rPr>
      <w:vertAlign w:val="superscript"/>
    </w:rPr>
  </w:style>
  <w:style w:type="paragraph" w:styleId="5">
    <w:name w:val="endnote text"/>
    <w:link w:val="19"/>
    <w:qFormat/>
    <w:uiPriority w:val="99"/>
    <w:pPr>
      <w:spacing w:after="0" w:line="240" w:lineRule="auto"/>
    </w:pPr>
    <w:rPr>
      <w:rFonts w:ascii="Calibri" w:hAnsi="Calibri" w:eastAsia="Calibri" w:cs="Calibri"/>
      <w:color w:val="2C2C2C"/>
      <w:sz w:val="20"/>
      <w:szCs w:val="20"/>
    </w:rPr>
  </w:style>
  <w:style w:type="character" w:styleId="6">
    <w:name w:val="footnote reference"/>
    <w:qFormat/>
    <w:uiPriority w:val="99"/>
    <w:rPr>
      <w:vertAlign w:val="superscript"/>
    </w:rPr>
  </w:style>
  <w:style w:type="paragraph" w:styleId="7">
    <w:name w:val="footnote text"/>
    <w:link w:val="18"/>
    <w:qFormat/>
    <w:uiPriority w:val="99"/>
    <w:pPr>
      <w:spacing w:after="0" w:line="240" w:lineRule="auto"/>
    </w:pPr>
    <w:rPr>
      <w:rFonts w:ascii="Calibri" w:hAnsi="Calibri" w:eastAsia="Calibri" w:cs="Calibri"/>
      <w:color w:val="2C2C2C"/>
      <w:sz w:val="20"/>
      <w:szCs w:val="20"/>
    </w:rPr>
  </w:style>
  <w:style w:type="character" w:styleId="8">
    <w:name w:val="Hyperlink"/>
    <w:qFormat/>
    <w:uiPriority w:val="99"/>
    <w:rPr>
      <w:color w:val="0563C1"/>
      <w:u w:val="single"/>
    </w:rPr>
  </w:style>
  <w:style w:type="paragraph" w:styleId="9">
    <w:name w:val="Title"/>
    <w:qFormat/>
    <w:uiPriority w:val="0"/>
    <w:rPr>
      <w:rFonts w:ascii="Calibri" w:hAnsi="Calibri" w:eastAsia="Calibri" w:cs="Calibri"/>
      <w:color w:val="2C2C2C"/>
      <w:sz w:val="56"/>
      <w:szCs w:val="56"/>
    </w:rPr>
  </w:style>
  <w:style w:type="paragraph" w:customStyle="1" w:styleId="10">
    <w:name w:val="Heading 1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customStyle="1" w:styleId="11">
    <w:name w:val="Heading 2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customStyle="1" w:styleId="12">
    <w:name w:val="Heading 3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customStyle="1" w:styleId="13">
    <w:name w:val="Heading 4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customStyle="1" w:styleId="14">
    <w:name w:val="Heading 5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customStyle="1" w:styleId="15">
    <w:name w:val="Heading 6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paragraph" w:customStyle="1" w:styleId="16">
    <w:name w:val="Strong_950a7b46-b52c-425a-9b26-a1ee49f27435"/>
    <w:qFormat/>
    <w:uiPriority w:val="0"/>
    <w:rPr>
      <w:rFonts w:ascii="Calibri" w:hAnsi="Calibri" w:eastAsia="Calibri" w:cs="Calibri"/>
      <w:b/>
      <w:bCs/>
      <w:color w:val="2C2C2C"/>
      <w:sz w:val="20"/>
      <w:szCs w:val="20"/>
    </w:rPr>
  </w:style>
  <w:style w:type="paragraph" w:styleId="17">
    <w:name w:val="List Paragraph"/>
    <w:qFormat/>
    <w:uiPriority w:val="0"/>
    <w:rPr>
      <w:rFonts w:ascii="Calibri" w:hAnsi="Calibri" w:eastAsia="Calibri" w:cs="Calibri"/>
      <w:color w:val="2C2C2C"/>
      <w:sz w:val="20"/>
      <w:szCs w:val="20"/>
    </w:rPr>
  </w:style>
  <w:style w:type="character" w:customStyle="1" w:styleId="18">
    <w:name w:val="Footnote Text Char"/>
    <w:link w:val="7"/>
    <w:uiPriority w:val="99"/>
    <w:rPr>
      <w:sz w:val="20"/>
      <w:szCs w:val="20"/>
    </w:rPr>
  </w:style>
  <w:style w:type="character" w:customStyle="1" w:styleId="19">
    <w:name w:val="Endnote Text Char"/>
    <w:link w:val="5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701</Words>
  <Characters>4679</Characters>
  <Paragraphs>109</Paragraphs>
  <TotalTime>3</TotalTime>
  <ScaleCrop>false</ScaleCrop>
  <LinksUpToDate>false</LinksUpToDate>
  <CharactersWithSpaces>5333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2026-05-08T20:28:00Z</dcterms:created>
  <dc:creator>Un-named</dc:creator>
  <cp:lastModifiedBy>Oluwatoyin Aduloju</cp:lastModifiedBy>
  <dcterms:modified xsi:type="dcterms:W3CDTF">2026-05-08T21:50:14Z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C9C85A9FABD9454CBBFA8861B5BDC3E9_13</vt:lpwstr>
  </property>
  <property fmtid="{D5CDD505-2E9C-101B-9397-08002B2CF9AE}" pid="3" name="KSOTemplateDocerSaveRecord">
    <vt:lpwstr>eyJoZGlkIjoiNmU5NzM2ZWNmMTYwOGQ0ZWRkZDFiZGE0ZTUyMGZjMzYiLCJ1c2VySWQiOiIyNzY2Njc5MDk5MzI5In0=</vt:lpwstr>
  </property>
  <property fmtid="{D5CDD505-2E9C-101B-9397-08002B2CF9AE}" pid="4" name="KSOProductBuildVer">
    <vt:lpwstr>1033-12.1.0.25862</vt:lpwstr>
  </property>
</Properties>
</file>