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CBE5A" w14:textId="77777777" w:rsidR="00CC5905" w:rsidRDefault="00CC5905" w:rsidP="00CC5905">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CC5905">
        <w:rPr>
          <w:rFonts w:ascii="Times New Roman" w:eastAsia="Times New Roman" w:hAnsi="Times New Roman" w:cs="Times New Roman"/>
          <w:b/>
          <w:bCs/>
          <w:sz w:val="36"/>
          <w:szCs w:val="36"/>
          <w:lang w:eastAsia="es-EC"/>
        </w:rPr>
        <w:t xml:space="preserve"> Ecuador: Donde la inversión y el turismo se encuentran</w:t>
      </w:r>
    </w:p>
    <w:p w14:paraId="0C2F447C" w14:textId="77777777" w:rsidR="00CC5905" w:rsidRPr="00CC5905" w:rsidRDefault="00CC5905" w:rsidP="00CC5905">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CC5905">
        <w:rPr>
          <w:rFonts w:ascii="Times New Roman" w:eastAsia="Times New Roman" w:hAnsi="Times New Roman" w:cs="Times New Roman"/>
          <w:b/>
          <w:bCs/>
          <w:sz w:val="27"/>
          <w:szCs w:val="27"/>
          <w:lang w:eastAsia="es-EC"/>
        </w:rPr>
        <w:t>Biodiversidad sin fronteras</w:t>
      </w:r>
    </w:p>
    <w:p w14:paraId="0C630EF5" w14:textId="77777777" w:rsidR="00CC5905" w:rsidRPr="00CC5905" w:rsidRDefault="00CC5905" w:rsidP="00CC5905">
      <w:pPr>
        <w:spacing w:before="100" w:beforeAutospacing="1" w:after="100" w:afterAutospacing="1" w:line="240" w:lineRule="auto"/>
        <w:rPr>
          <w:rFonts w:ascii="Times New Roman" w:eastAsia="Times New Roman" w:hAnsi="Times New Roman" w:cs="Times New Roman"/>
          <w:sz w:val="24"/>
          <w:szCs w:val="24"/>
          <w:lang w:eastAsia="es-EC"/>
        </w:rPr>
      </w:pPr>
      <w:r w:rsidRPr="00CC5905">
        <w:rPr>
          <w:rFonts w:ascii="Times New Roman" w:eastAsia="Times New Roman" w:hAnsi="Times New Roman" w:cs="Times New Roman"/>
          <w:sz w:val="24"/>
          <w:szCs w:val="24"/>
          <w:lang w:eastAsia="es-EC"/>
        </w:rPr>
        <w:t>Ecuador es uno de los países más megadiversos del planeta. Desde los Andes hasta la Amazonía, pasando por las Islas Galápagos, ofrece más de 1.600 especies de aves y una variedad de ecosistemas únicos. Esta riqueza natural convierte al país en un destino ideal para ecoturismo, fotografía de naturaleza y turismo científico.</w:t>
      </w:r>
    </w:p>
    <w:p w14:paraId="4F419289" w14:textId="77777777" w:rsidR="00CC5905" w:rsidRPr="00CC5905" w:rsidRDefault="00CC5905" w:rsidP="00CC5905">
      <w:pPr>
        <w:spacing w:before="100" w:beforeAutospacing="1" w:after="100" w:afterAutospacing="1" w:line="240" w:lineRule="auto"/>
        <w:outlineLvl w:val="2"/>
        <w:rPr>
          <w:rFonts w:ascii="Times New Roman" w:eastAsia="Times New Roman" w:hAnsi="Times New Roman" w:cs="Times New Roman"/>
          <w:b/>
          <w:bCs/>
          <w:sz w:val="27"/>
          <w:szCs w:val="27"/>
          <w:lang w:eastAsia="es-EC"/>
        </w:rPr>
      </w:pPr>
      <w:r w:rsidRPr="00CC5905">
        <w:rPr>
          <w:rFonts w:ascii="Times New Roman" w:eastAsia="Times New Roman" w:hAnsi="Times New Roman" w:cs="Times New Roman"/>
          <w:b/>
          <w:bCs/>
          <w:sz w:val="27"/>
          <w:szCs w:val="27"/>
          <w:lang w:eastAsia="es-EC"/>
        </w:rPr>
        <w:t>Incentivos fiscales para invertir</w:t>
      </w:r>
    </w:p>
    <w:p w14:paraId="219F8131" w14:textId="77777777" w:rsidR="00CC5905" w:rsidRDefault="00CC5905" w:rsidP="00CC5905">
      <w:pPr>
        <w:spacing w:before="100" w:beforeAutospacing="1" w:after="100" w:afterAutospacing="1" w:line="240" w:lineRule="auto"/>
        <w:rPr>
          <w:rFonts w:ascii="Times New Roman" w:eastAsia="Times New Roman" w:hAnsi="Times New Roman" w:cs="Times New Roman"/>
          <w:sz w:val="24"/>
          <w:szCs w:val="24"/>
          <w:lang w:eastAsia="es-EC"/>
        </w:rPr>
      </w:pPr>
      <w:r w:rsidRPr="00CC5905">
        <w:rPr>
          <w:rFonts w:ascii="Times New Roman" w:eastAsia="Times New Roman" w:hAnsi="Times New Roman" w:cs="Times New Roman"/>
          <w:sz w:val="24"/>
          <w:szCs w:val="24"/>
          <w:lang w:eastAsia="es-EC"/>
        </w:rPr>
        <w:t>El gobierno ecuatoriano ofrece exoneración del Impuesto a la Renta por hasta siete años para inversiones superiores a $100.000 en sectores estratégicos como el turismo. Además, se han simplificado los trámites para constituir empresas, lo que facilita el ingreso de capital extranjero.</w:t>
      </w:r>
    </w:p>
    <w:p w14:paraId="7F2BEC18" w14:textId="77777777" w:rsidR="00CC5905" w:rsidRPr="00CC5905" w:rsidRDefault="00CC5905" w:rsidP="00CC5905">
      <w:pPr>
        <w:spacing w:before="100" w:beforeAutospacing="1" w:after="100" w:afterAutospacing="1" w:line="240" w:lineRule="auto"/>
        <w:rPr>
          <w:rFonts w:ascii="Times New Roman" w:eastAsia="Times New Roman" w:hAnsi="Times New Roman" w:cs="Times New Roman"/>
          <w:sz w:val="24"/>
          <w:szCs w:val="24"/>
          <w:lang w:eastAsia="es-EC"/>
        </w:rPr>
      </w:pPr>
      <w:r w:rsidRPr="00CC5905">
        <w:rPr>
          <w:rFonts w:ascii="Times New Roman" w:eastAsia="Times New Roman" w:hAnsi="Times New Roman" w:cs="Times New Roman"/>
          <w:b/>
          <w:bCs/>
          <w:sz w:val="27"/>
          <w:szCs w:val="27"/>
          <w:lang w:eastAsia="es-EC"/>
        </w:rPr>
        <w:t xml:space="preserve"> Conectividad internacional estratégica</w:t>
      </w:r>
    </w:p>
    <w:p w14:paraId="530D56DE" w14:textId="77777777" w:rsidR="00CC5905" w:rsidRDefault="00CC5905" w:rsidP="00CC5905">
      <w:pPr>
        <w:spacing w:before="100" w:beforeAutospacing="1" w:after="100" w:afterAutospacing="1" w:line="240" w:lineRule="auto"/>
        <w:rPr>
          <w:rFonts w:ascii="Times New Roman" w:eastAsia="Times New Roman" w:hAnsi="Times New Roman" w:cs="Times New Roman"/>
          <w:sz w:val="24"/>
          <w:szCs w:val="24"/>
          <w:lang w:eastAsia="es-EC"/>
        </w:rPr>
      </w:pPr>
      <w:r w:rsidRPr="00CC5905">
        <w:rPr>
          <w:rFonts w:ascii="Times New Roman" w:eastAsia="Times New Roman" w:hAnsi="Times New Roman" w:cs="Times New Roman"/>
          <w:sz w:val="24"/>
          <w:szCs w:val="24"/>
          <w:lang w:eastAsia="es-EC"/>
        </w:rPr>
        <w:t>Ecuador mantiene rutas aéreas activas con Estados Unidos, Europa y América Latina. Los aeropuertos de Quito y Guayaquil operan vuelos directos con las principales ciudades del continente, lo que garantiza accesibilidad para turistas e inversionistas.</w:t>
      </w:r>
    </w:p>
    <w:p w14:paraId="41CA701E" w14:textId="77777777" w:rsidR="00CC5905" w:rsidRPr="00CC5905" w:rsidRDefault="00CC5905" w:rsidP="00CC5905">
      <w:pPr>
        <w:spacing w:before="100" w:beforeAutospacing="1" w:after="100" w:afterAutospacing="1" w:line="240" w:lineRule="auto"/>
        <w:rPr>
          <w:rFonts w:ascii="Times New Roman" w:eastAsia="Times New Roman" w:hAnsi="Times New Roman" w:cs="Times New Roman"/>
          <w:b/>
          <w:sz w:val="24"/>
          <w:szCs w:val="24"/>
          <w:lang w:eastAsia="es-EC"/>
        </w:rPr>
      </w:pPr>
      <w:r w:rsidRPr="00CC5905">
        <w:rPr>
          <w:rFonts w:ascii="Times New Roman" w:eastAsia="Times New Roman" w:hAnsi="Times New Roman" w:cs="Times New Roman"/>
          <w:b/>
          <w:sz w:val="24"/>
          <w:szCs w:val="24"/>
          <w:lang w:eastAsia="es-EC"/>
        </w:rPr>
        <w:t xml:space="preserve"> Turismo que genera divisas</w:t>
      </w:r>
    </w:p>
    <w:p w14:paraId="0E3C1734" w14:textId="77777777" w:rsidR="00CC5905" w:rsidRPr="00CC5905" w:rsidRDefault="00CC5905" w:rsidP="00CC5905">
      <w:pPr>
        <w:spacing w:before="100" w:beforeAutospacing="1" w:after="100" w:afterAutospacing="1" w:line="240" w:lineRule="auto"/>
        <w:rPr>
          <w:rFonts w:ascii="Times New Roman" w:eastAsia="Times New Roman" w:hAnsi="Times New Roman" w:cs="Times New Roman"/>
          <w:sz w:val="24"/>
          <w:szCs w:val="24"/>
          <w:lang w:eastAsia="es-EC"/>
        </w:rPr>
      </w:pPr>
      <w:r w:rsidRPr="00CC5905">
        <w:rPr>
          <w:rFonts w:ascii="Times New Roman" w:eastAsia="Times New Roman" w:hAnsi="Times New Roman" w:cs="Times New Roman"/>
          <w:sz w:val="24"/>
          <w:szCs w:val="24"/>
          <w:lang w:eastAsia="es-EC"/>
        </w:rPr>
        <w:t>La balanza turística del país es positiva: ingresan más divisas por turismo receptivo que las que salen por viajes al exterior. Esto refleja la creciente preferencia internacional por Ecuador como destino, y su potencial para generar ingresos sostenibles.</w:t>
      </w:r>
    </w:p>
    <w:p w14:paraId="3252D360" w14:textId="77777777" w:rsidR="00CC5905" w:rsidRPr="00CC5905" w:rsidRDefault="00CC5905" w:rsidP="00CC5905">
      <w:pPr>
        <w:spacing w:before="100" w:beforeAutospacing="1" w:after="100" w:afterAutospacing="1" w:line="240" w:lineRule="auto"/>
        <w:rPr>
          <w:rFonts w:ascii="Times New Roman" w:eastAsia="Times New Roman" w:hAnsi="Times New Roman" w:cs="Times New Roman"/>
          <w:b/>
          <w:sz w:val="24"/>
          <w:szCs w:val="24"/>
          <w:lang w:eastAsia="es-EC"/>
        </w:rPr>
      </w:pPr>
      <w:r w:rsidRPr="00CC5905">
        <w:rPr>
          <w:rFonts w:ascii="Times New Roman" w:eastAsia="Times New Roman" w:hAnsi="Times New Roman" w:cs="Times New Roman"/>
          <w:b/>
          <w:sz w:val="24"/>
          <w:szCs w:val="24"/>
          <w:lang w:eastAsia="es-EC"/>
        </w:rPr>
        <w:t xml:space="preserve"> Cultura viva y ancestral</w:t>
      </w:r>
    </w:p>
    <w:p w14:paraId="2E83C72B" w14:textId="77777777" w:rsidR="00CC5905" w:rsidRPr="00CC5905" w:rsidRDefault="00CC5905" w:rsidP="00CC5905">
      <w:pPr>
        <w:spacing w:before="100" w:beforeAutospacing="1" w:after="100" w:afterAutospacing="1" w:line="240" w:lineRule="auto"/>
        <w:rPr>
          <w:rFonts w:ascii="Times New Roman" w:eastAsia="Times New Roman" w:hAnsi="Times New Roman" w:cs="Times New Roman"/>
          <w:sz w:val="24"/>
          <w:szCs w:val="24"/>
          <w:lang w:eastAsia="es-EC"/>
        </w:rPr>
      </w:pPr>
      <w:r w:rsidRPr="00CC5905">
        <w:rPr>
          <w:rFonts w:ascii="Times New Roman" w:eastAsia="Times New Roman" w:hAnsi="Times New Roman" w:cs="Times New Roman"/>
          <w:sz w:val="24"/>
          <w:szCs w:val="24"/>
          <w:lang w:eastAsia="es-EC"/>
        </w:rPr>
        <w:t>Con 14 nacionalidades indígenas reconocidas oficialmente, Ecuador ofrece experiencias únicas de turismo comunitario y cultural. Los visitantes pueden participar en rituales ancestrales, aprender sobre medicina tradicional y convivir con comunidades que conservan sus lenguas y tradiciones.</w:t>
      </w:r>
    </w:p>
    <w:p w14:paraId="107C866E" w14:textId="77777777" w:rsidR="00CC5905" w:rsidRDefault="00CC5905" w:rsidP="00CC5905">
      <w:pPr>
        <w:spacing w:before="100" w:beforeAutospacing="1" w:after="100" w:afterAutospacing="1" w:line="240" w:lineRule="auto"/>
        <w:rPr>
          <w:b/>
          <w:bCs/>
          <w:i/>
          <w:sz w:val="27"/>
          <w:szCs w:val="27"/>
          <w:u w:val="single"/>
        </w:rPr>
      </w:pPr>
      <w:r w:rsidRPr="00CC5905">
        <w:rPr>
          <w:rFonts w:ascii="Times New Roman" w:eastAsia="Times New Roman" w:hAnsi="Times New Roman" w:cs="Times New Roman"/>
          <w:b/>
          <w:bCs/>
          <w:i/>
          <w:sz w:val="27"/>
          <w:szCs w:val="27"/>
          <w:lang w:eastAsia="es-EC"/>
        </w:rPr>
        <w:t xml:space="preserve"> </w:t>
      </w:r>
      <w:r w:rsidRPr="00CC5905">
        <w:rPr>
          <w:b/>
          <w:bCs/>
          <w:i/>
          <w:sz w:val="27"/>
          <w:szCs w:val="27"/>
        </w:rPr>
        <w:br/>
      </w:r>
      <w:r w:rsidRPr="00CC5905">
        <w:rPr>
          <w:b/>
          <w:bCs/>
          <w:i/>
          <w:sz w:val="27"/>
          <w:szCs w:val="27"/>
          <w:u w:val="single"/>
        </w:rPr>
        <w:t>Base le</w:t>
      </w:r>
      <w:r>
        <w:rPr>
          <w:b/>
          <w:bCs/>
          <w:i/>
          <w:sz w:val="27"/>
          <w:szCs w:val="27"/>
          <w:u w:val="single"/>
        </w:rPr>
        <w:t>g</w:t>
      </w:r>
      <w:r w:rsidRPr="00CC5905">
        <w:rPr>
          <w:b/>
          <w:bCs/>
          <w:i/>
          <w:sz w:val="27"/>
          <w:szCs w:val="27"/>
          <w:u w:val="single"/>
        </w:rPr>
        <w:t>al</w:t>
      </w:r>
    </w:p>
    <w:p w14:paraId="143DDA38" w14:textId="77777777" w:rsidR="00CC5905" w:rsidRPr="00CC5905" w:rsidRDefault="00CC5905" w:rsidP="00CC5905">
      <w:pPr>
        <w:pStyle w:val="NormalWeb"/>
        <w:rPr>
          <w:i/>
          <w:u w:val="single"/>
        </w:rPr>
      </w:pPr>
      <w:r w:rsidRPr="00CC5905">
        <w:rPr>
          <w:b/>
        </w:rPr>
        <w:t>Ley de Turismo</w:t>
      </w:r>
      <w:r>
        <w:t xml:space="preserve"> (actualizada 2025)</w:t>
      </w:r>
    </w:p>
    <w:p w14:paraId="23E948EC" w14:textId="77777777" w:rsidR="00CC5905" w:rsidRDefault="00CC5905" w:rsidP="00CC5905">
      <w:pPr>
        <w:pStyle w:val="NormalWeb"/>
      </w:pPr>
      <w:r>
        <w:rPr>
          <w:rStyle w:val="Textoennegrita"/>
        </w:rPr>
        <w:t>Base legal:</w:t>
      </w:r>
      <w:r>
        <w:t xml:space="preserve"> Ley de Turismo, actualizada al 21 de octubre de 2025</w:t>
      </w:r>
      <w:r>
        <w:br/>
      </w:r>
      <w:r>
        <w:rPr>
          <w:rStyle w:val="Textoennegrita"/>
        </w:rPr>
        <w:t>Artículo relevante:</w:t>
      </w:r>
      <w:r>
        <w:t xml:space="preserve"> La ley incorpora disposiciones de la antigua Ley Especial de Desarrollo Turístico (Registro Oficial 118, 28 de enero de 1997), que siguen vigentes para fomentar la inversión y atraer divisas.</w:t>
      </w:r>
      <w:r>
        <w:br/>
      </w:r>
      <w:r>
        <w:rPr>
          <w:rStyle w:val="Textoennegrita"/>
        </w:rPr>
        <w:t>Aplicación:</w:t>
      </w:r>
      <w:r>
        <w:t xml:space="preserve"> Establece como política prioritaria del Estado el desarrollo turístico, incluyendo incentivos fiscales y facilidades administrativas para inversionistas.</w:t>
      </w:r>
      <w:r>
        <w:br/>
      </w:r>
    </w:p>
    <w:p w14:paraId="479F5083" w14:textId="77777777" w:rsidR="00CC5905" w:rsidRDefault="00CC5905" w:rsidP="00CC5905">
      <w:pPr>
        <w:pStyle w:val="Ttulo3"/>
      </w:pPr>
      <w:r>
        <w:lastRenderedPageBreak/>
        <w:t>Ley Orgánica para el Fortalecimiento de las Actividades Turísticas y Fomento del Empleo</w:t>
      </w:r>
    </w:p>
    <w:p w14:paraId="45E09612" w14:textId="77777777" w:rsidR="00CC5905" w:rsidRDefault="00CC5905" w:rsidP="00CC5905">
      <w:pPr>
        <w:pStyle w:val="NormalWeb"/>
      </w:pPr>
      <w:r>
        <w:rPr>
          <w:rStyle w:val="Textoennegrita"/>
        </w:rPr>
        <w:t>Base legal:</w:t>
      </w:r>
      <w:r>
        <w:t xml:space="preserve"> Suplemento del Registro Oficial No. 525, 25 de marzo de 2024</w:t>
      </w:r>
      <w:r>
        <w:br/>
      </w:r>
      <w:r>
        <w:rPr>
          <w:rStyle w:val="Textoennegrita"/>
        </w:rPr>
        <w:t>Artículos relevantes:</w:t>
      </w:r>
    </w:p>
    <w:p w14:paraId="53E9FA45" w14:textId="77777777" w:rsidR="00CC5905" w:rsidRDefault="00CC5905" w:rsidP="00CC5905">
      <w:pPr>
        <w:numPr>
          <w:ilvl w:val="0"/>
          <w:numId w:val="1"/>
        </w:numPr>
        <w:spacing w:before="100" w:beforeAutospacing="1" w:after="100" w:afterAutospacing="1" w:line="240" w:lineRule="auto"/>
      </w:pPr>
      <w:r>
        <w:rPr>
          <w:rStyle w:val="nfasis"/>
        </w:rPr>
        <w:t>Artículo 1:</w:t>
      </w:r>
      <w:r>
        <w:t xml:space="preserve"> Declara al turismo como actividad estratégica nacional.</w:t>
      </w:r>
    </w:p>
    <w:p w14:paraId="5232F8B7" w14:textId="77777777" w:rsidR="00CC5905" w:rsidRDefault="00CC5905" w:rsidP="00CC5905">
      <w:pPr>
        <w:numPr>
          <w:ilvl w:val="0"/>
          <w:numId w:val="1"/>
        </w:numPr>
        <w:spacing w:before="100" w:beforeAutospacing="1" w:after="100" w:afterAutospacing="1" w:line="240" w:lineRule="auto"/>
      </w:pPr>
      <w:r>
        <w:rPr>
          <w:rStyle w:val="nfasis"/>
        </w:rPr>
        <w:t>Artículo 6:</w:t>
      </w:r>
      <w:r>
        <w:t xml:space="preserve"> Establece exoneraciones tributarias para inversiones superiores a $100.000 en el sector turístico.</w:t>
      </w:r>
    </w:p>
    <w:p w14:paraId="087C618C" w14:textId="77777777" w:rsidR="00CC5905" w:rsidRDefault="00CC5905" w:rsidP="00CC5905">
      <w:pPr>
        <w:numPr>
          <w:ilvl w:val="0"/>
          <w:numId w:val="1"/>
        </w:numPr>
        <w:spacing w:before="100" w:beforeAutospacing="1" w:after="100" w:afterAutospacing="1" w:line="240" w:lineRule="auto"/>
      </w:pPr>
      <w:r>
        <w:rPr>
          <w:rStyle w:val="nfasis"/>
        </w:rPr>
        <w:t>Artículo 9:</w:t>
      </w:r>
      <w:r>
        <w:t xml:space="preserve"> Promueve la simplificación de trámites para la constitución de empresas turísticas.</w:t>
      </w:r>
      <w:r>
        <w:br/>
      </w:r>
      <w:r>
        <w:rPr>
          <w:rStyle w:val="Textoennegrita"/>
        </w:rPr>
        <w:t>Aplicación:</w:t>
      </w:r>
      <w:r>
        <w:t xml:space="preserve"> Esta ley permite la exoneración del IVA en servicios turísticos hasta diciembre de 2025 y facilita el acceso a beneficios fiscales.</w:t>
      </w:r>
    </w:p>
    <w:p w14:paraId="26B6DBE7" w14:textId="77777777" w:rsidR="00CC5905" w:rsidRDefault="00CC5905" w:rsidP="00CC5905">
      <w:pPr>
        <w:pStyle w:val="Ttulo3"/>
      </w:pPr>
      <w:r>
        <w:t>Incentivos fiscales específicos (2025)</w:t>
      </w:r>
    </w:p>
    <w:p w14:paraId="501EEE8E" w14:textId="77777777" w:rsidR="00CC5905" w:rsidRDefault="00CC5905" w:rsidP="00CC5905">
      <w:pPr>
        <w:pStyle w:val="NormalWeb"/>
      </w:pPr>
      <w:r>
        <w:rPr>
          <w:rStyle w:val="Textoennegrita"/>
        </w:rPr>
        <w:t>Disposición vigente:</w:t>
      </w:r>
      <w:r>
        <w:t xml:space="preserve"> Exoneración del IVA (0%) en servicios turísticos hasta diciembre de 2025</w:t>
      </w:r>
      <w:r>
        <w:br/>
      </w:r>
      <w:r>
        <w:rPr>
          <w:rStyle w:val="Textoennegrita"/>
        </w:rPr>
        <w:t>Fuente:</w:t>
      </w:r>
      <w:r>
        <w:t xml:space="preserve"> Ministerio de Turismo y asesores contables especializados</w:t>
      </w:r>
      <w:r>
        <w:br/>
      </w:r>
      <w:r>
        <w:rPr>
          <w:rStyle w:val="Textoennegrita"/>
        </w:rPr>
        <w:t>Aplicación:</w:t>
      </w:r>
      <w:r>
        <w:t xml:space="preserve"> Aplica a operadores turísticos, hoteles, agencias de viaje y servicios complementarios registrados oficialmente.</w:t>
      </w:r>
      <w:r>
        <w:br/>
      </w:r>
    </w:p>
    <w:p w14:paraId="4DB29BEC" w14:textId="77777777" w:rsidR="00B3329B" w:rsidRDefault="00B3329B" w:rsidP="00CC5905">
      <w:pPr>
        <w:spacing w:before="100" w:beforeAutospacing="1" w:after="100" w:afterAutospacing="1" w:line="240" w:lineRule="auto"/>
        <w:rPr>
          <w:rFonts w:ascii="Times New Roman" w:eastAsia="Times New Roman" w:hAnsi="Times New Roman" w:cs="Times New Roman"/>
          <w:b/>
          <w:bCs/>
          <w:sz w:val="27"/>
          <w:szCs w:val="27"/>
          <w:lang w:eastAsia="es-EC"/>
        </w:rPr>
      </w:pPr>
      <w:r>
        <w:rPr>
          <w:rFonts w:ascii="Times New Roman" w:eastAsia="Times New Roman" w:hAnsi="Times New Roman" w:cs="Times New Roman"/>
          <w:b/>
          <w:bCs/>
          <w:sz w:val="27"/>
          <w:szCs w:val="27"/>
          <w:lang w:eastAsia="es-EC"/>
        </w:rPr>
        <w:t>INFLACION</w:t>
      </w:r>
    </w:p>
    <w:p w14:paraId="58147A82" w14:textId="77777777" w:rsidR="00B3329B" w:rsidRPr="00B3329B" w:rsidRDefault="00B3329B" w:rsidP="00B3329B">
      <w:pPr>
        <w:spacing w:before="100" w:beforeAutospacing="1" w:after="100" w:afterAutospacing="1" w:line="240" w:lineRule="auto"/>
        <w:rPr>
          <w:rFonts w:ascii="Times New Roman" w:eastAsia="Times New Roman" w:hAnsi="Times New Roman" w:cs="Times New Roman"/>
          <w:sz w:val="24"/>
          <w:szCs w:val="24"/>
          <w:lang w:eastAsia="es-EC"/>
        </w:rPr>
      </w:pPr>
      <w:r w:rsidRPr="00B3329B">
        <w:rPr>
          <w:rFonts w:ascii="Times New Roman" w:eastAsia="Times New Roman" w:hAnsi="Times New Roman" w:cs="Times New Roman"/>
          <w:b/>
          <w:bCs/>
          <w:sz w:val="24"/>
          <w:szCs w:val="24"/>
          <w:lang w:eastAsia="es-EC"/>
        </w:rPr>
        <w:t xml:space="preserve">En septiembre de 2025, la inflación anual en Ecuador se ubicó en </w:t>
      </w:r>
      <w:r w:rsidRPr="00B3329B">
        <w:rPr>
          <w:rFonts w:ascii="Times New Roman" w:eastAsia="Times New Roman" w:hAnsi="Times New Roman" w:cs="Times New Roman"/>
          <w:b/>
          <w:bCs/>
          <w:i/>
          <w:iCs/>
          <w:sz w:val="24"/>
          <w:szCs w:val="24"/>
          <w:lang w:eastAsia="es-EC"/>
        </w:rPr>
        <w:t>0,72%</w:t>
      </w:r>
      <w:r w:rsidRPr="00B3329B">
        <w:rPr>
          <w:rFonts w:ascii="Times New Roman" w:eastAsia="Times New Roman" w:hAnsi="Times New Roman" w:cs="Times New Roman"/>
          <w:b/>
          <w:bCs/>
          <w:sz w:val="24"/>
          <w:szCs w:val="24"/>
          <w:lang w:eastAsia="es-EC"/>
        </w:rPr>
        <w:t>, una de las más bajas de la región.</w:t>
      </w:r>
      <w:r w:rsidRPr="00B3329B">
        <w:rPr>
          <w:rFonts w:ascii="Times New Roman" w:eastAsia="Times New Roman" w:hAnsi="Times New Roman" w:cs="Times New Roman"/>
          <w:sz w:val="24"/>
          <w:szCs w:val="24"/>
          <w:lang w:eastAsia="es-EC"/>
        </w:rPr>
        <w:t xml:space="preserve"> Esta cifra refleja una notable estabilidad de precios, favorecida por el régimen de dolarización y una demanda interna moderada. Para los inversionistas, este entorno de baja inflación reduce la incertidumbre sobre costos futuros y preserva el valor real de las inversiones. Sin embargo, esta estabilidad también puede reflejar un débil dinamismo económico, lo que limita oportunidades de rentabilidad. En conjunto, la inflación controlada es un punto a favor, pero no suficiente por sí sola para atraer inversión sostenida.</w:t>
      </w:r>
    </w:p>
    <w:p w14:paraId="24ACBBE6" w14:textId="77777777" w:rsidR="00CC5905" w:rsidRPr="00B3329B" w:rsidRDefault="00CC5905" w:rsidP="00CC5905">
      <w:pPr>
        <w:spacing w:before="100" w:beforeAutospacing="1" w:after="100" w:afterAutospacing="1" w:line="240" w:lineRule="auto"/>
        <w:rPr>
          <w:rFonts w:ascii="Times New Roman" w:eastAsia="Times New Roman" w:hAnsi="Times New Roman" w:cs="Times New Roman"/>
          <w:b/>
          <w:bCs/>
          <w:sz w:val="27"/>
          <w:szCs w:val="27"/>
          <w:lang w:eastAsia="es-EC"/>
        </w:rPr>
      </w:pPr>
    </w:p>
    <w:sectPr w:rsidR="00CC5905" w:rsidRPr="00B3329B">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04165"/>
    <w:multiLevelType w:val="multilevel"/>
    <w:tmpl w:val="EEBC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94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05"/>
    <w:rsid w:val="00886E35"/>
    <w:rsid w:val="00B3329B"/>
    <w:rsid w:val="00C9157B"/>
    <w:rsid w:val="00CC5905"/>
    <w:rsid w:val="00F528D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A6B28"/>
  <w15:chartTrackingRefBased/>
  <w15:docId w15:val="{5D39875C-AC1E-4EBC-A3D3-65A1D22A8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CC5905"/>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link w:val="Ttulo3Car"/>
    <w:uiPriority w:val="9"/>
    <w:qFormat/>
    <w:rsid w:val="00CC5905"/>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C5905"/>
    <w:rPr>
      <w:rFonts w:ascii="Times New Roman" w:eastAsia="Times New Roman" w:hAnsi="Times New Roman" w:cs="Times New Roman"/>
      <w:b/>
      <w:bCs/>
      <w:sz w:val="36"/>
      <w:szCs w:val="36"/>
      <w:lang w:eastAsia="es-EC"/>
    </w:rPr>
  </w:style>
  <w:style w:type="character" w:customStyle="1" w:styleId="Ttulo3Car">
    <w:name w:val="Título 3 Car"/>
    <w:basedOn w:val="Fuentedeprrafopredeter"/>
    <w:link w:val="Ttulo3"/>
    <w:uiPriority w:val="9"/>
    <w:rsid w:val="00CC5905"/>
    <w:rPr>
      <w:rFonts w:ascii="Times New Roman" w:eastAsia="Times New Roman" w:hAnsi="Times New Roman" w:cs="Times New Roman"/>
      <w:b/>
      <w:bCs/>
      <w:sz w:val="27"/>
      <w:szCs w:val="27"/>
      <w:lang w:eastAsia="es-EC"/>
    </w:rPr>
  </w:style>
  <w:style w:type="paragraph" w:styleId="NormalWeb">
    <w:name w:val="Normal (Web)"/>
    <w:basedOn w:val="Normal"/>
    <w:uiPriority w:val="99"/>
    <w:unhideWhenUsed/>
    <w:rsid w:val="00CC5905"/>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CC5905"/>
    <w:rPr>
      <w:b/>
      <w:bCs/>
    </w:rPr>
  </w:style>
  <w:style w:type="character" w:styleId="Hipervnculo">
    <w:name w:val="Hyperlink"/>
    <w:basedOn w:val="Fuentedeprrafopredeter"/>
    <w:uiPriority w:val="99"/>
    <w:semiHidden/>
    <w:unhideWhenUsed/>
    <w:rsid w:val="00CC5905"/>
    <w:rPr>
      <w:color w:val="0000FF"/>
      <w:u w:val="single"/>
    </w:rPr>
  </w:style>
  <w:style w:type="character" w:styleId="nfasis">
    <w:name w:val="Emphasis"/>
    <w:basedOn w:val="Fuentedeprrafopredeter"/>
    <w:uiPriority w:val="20"/>
    <w:qFormat/>
    <w:rsid w:val="00CC59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2628">
      <w:bodyDiv w:val="1"/>
      <w:marLeft w:val="0"/>
      <w:marRight w:val="0"/>
      <w:marTop w:val="0"/>
      <w:marBottom w:val="0"/>
      <w:divBdr>
        <w:top w:val="none" w:sz="0" w:space="0" w:color="auto"/>
        <w:left w:val="none" w:sz="0" w:space="0" w:color="auto"/>
        <w:bottom w:val="none" w:sz="0" w:space="0" w:color="auto"/>
        <w:right w:val="none" w:sz="0" w:space="0" w:color="auto"/>
      </w:divBdr>
    </w:div>
    <w:div w:id="1186820684">
      <w:bodyDiv w:val="1"/>
      <w:marLeft w:val="0"/>
      <w:marRight w:val="0"/>
      <w:marTop w:val="0"/>
      <w:marBottom w:val="0"/>
      <w:divBdr>
        <w:top w:val="none" w:sz="0" w:space="0" w:color="auto"/>
        <w:left w:val="none" w:sz="0" w:space="0" w:color="auto"/>
        <w:bottom w:val="none" w:sz="0" w:space="0" w:color="auto"/>
        <w:right w:val="none" w:sz="0" w:space="0" w:color="auto"/>
      </w:divBdr>
    </w:div>
    <w:div w:id="1670671562">
      <w:bodyDiv w:val="1"/>
      <w:marLeft w:val="0"/>
      <w:marRight w:val="0"/>
      <w:marTop w:val="0"/>
      <w:marBottom w:val="0"/>
      <w:divBdr>
        <w:top w:val="none" w:sz="0" w:space="0" w:color="auto"/>
        <w:left w:val="none" w:sz="0" w:space="0" w:color="auto"/>
        <w:bottom w:val="none" w:sz="0" w:space="0" w:color="auto"/>
        <w:right w:val="none" w:sz="0" w:space="0" w:color="auto"/>
      </w:divBdr>
    </w:div>
    <w:div w:id="168382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524</Words>
  <Characters>3151</Characters>
  <Application>Microsoft Office Word</Application>
  <DocSecurity>0</DocSecurity>
  <Lines>62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Emanuel</dc:creator>
  <cp:keywords/>
  <dc:description/>
  <cp:lastModifiedBy>Oscar Castro</cp:lastModifiedBy>
  <cp:revision>1</cp:revision>
  <dcterms:created xsi:type="dcterms:W3CDTF">2025-10-31T16:10:00Z</dcterms:created>
  <dcterms:modified xsi:type="dcterms:W3CDTF">2025-12-03T20:27:00Z</dcterms:modified>
</cp:coreProperties>
</file>