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приобретение навыков в написания программ с использованием подпрограмм, знакомство с методами отладки при помощи GDB и его основными возможностями.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программам с помощью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 в GDB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Отладка — это процесс поиска и исправления ошибок в программе.</w:t>
      </w:r>
    </w:p>
    <w:p>
      <w:pPr>
        <w:pStyle w:val="BodyText"/>
      </w:pPr>
      <w:r>
        <w:t xml:space="preserve">Отладчики позволяют управлять ходом выполнения программы, контролировать и изменять данные. Это помогает быстрее найти место ошибки в программе и ускорить её исправление. Наиболее популярные способы работы с отладчиком — это использование точек останова и выполнение программы по шагам. Пошаговое выполнение — это выполнение программы с остановкой после каждой строчки, чтобы программист мог проверить значения переменных и выполнить другие действия.</w:t>
      </w:r>
    </w:p>
    <w:p>
      <w:pPr>
        <w:pStyle w:val="BodyText"/>
      </w:pPr>
      <w:r>
        <w:t xml:space="preserve">Точки останова — это специально отмеченные места в программе, в которых программаотладчик приостанавливает выполнение программы и ждёт команд.</w:t>
      </w:r>
    </w:p>
    <w:p>
      <w:pPr>
        <w:pStyle w:val="BodyText"/>
      </w:pPr>
      <w:r>
        <w:t xml:space="preserve">GDB (GNU Debugger — отладчик проекта GNU) [1] работает на многих UNIX-подобных системах и умеет производить отладку многих языков программирования. GDB предлагает обширные средства для слежения и контроля за выполнением компьютерных программ. Отладчик не содержит собственного графического пользовательского интерфейса и использует стандартный текстовый интерфейс консоли. Однако для GDB существует несколько сторонних графических надстроек, а кроме того, некоторые интегрированные среды разработки используют его в качестве базовой подсистемы отладки.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программам лабораторной работы № 9, перехожу в него и создаю файл lab09-1.asm. 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1728"/>
            <wp:effectExtent b="0" l="0" r="0" t="0"/>
            <wp:docPr descr="Figure 1: Создание папки и файла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 и файла</w:t>
      </w:r>
    </w:p>
    <w:bookmarkEnd w:id="0"/>
    <w:p>
      <w:pPr>
        <w:pStyle w:val="BodyText"/>
      </w:pPr>
      <w:r>
        <w:t xml:space="preserve">Ввожу в файл lab09-1.asm текст программы.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738876"/>
            <wp:effectExtent b="0" l="0" r="0" t="0"/>
            <wp:docPr descr="Figure 2: Содержание файла lab09-1.asm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Содержание файла lab09-1.asm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726331"/>
            <wp:effectExtent b="0" l="0" r="0" t="0"/>
            <wp:docPr descr="Figure 3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Выподнение программы</w:t>
      </w:r>
    </w:p>
    <w:bookmarkEnd w:id="0"/>
    <w:p>
      <w:pPr>
        <w:pStyle w:val="BodyText"/>
      </w:pPr>
      <w:r>
        <w:t xml:space="preserve">Изменяю код программы, добавив подпрограмму _subcalcul в подпрограмму _calcul для вычисления выражения f(g(x)), где x вводится с клавиатуры, f(x) = 2x + 7, g(x) = 3x − 1.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3147438"/>
            <wp:effectExtent b="0" l="0" r="0" t="0"/>
            <wp:docPr descr="Figure 4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Изменение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программы. (рис.5)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726331"/>
            <wp:effectExtent b="0" l="0" r="0" t="0"/>
            <wp:docPr descr="Figure 5: Выпод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Выподнение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Отладка программам с помощью GDB</w:t>
      </w:r>
    </w:p>
    <w:p>
      <w:pPr>
        <w:pStyle w:val="FirstParagraph"/>
      </w:pPr>
      <w:r>
        <w:t xml:space="preserve">Создаю файл lab09-2.asm в каталоге ~/work/arch-pc/lab08. Ввожу код программы из листинга 9.2 в созданный файл.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3147438"/>
            <wp:effectExtent b="0" l="0" r="0" t="0"/>
            <wp:docPr descr="Figure 6: Содержание файла lab09-2.asm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7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Содержание файла lab09-2.asm</w:t>
      </w:r>
    </w:p>
    <w:bookmarkEnd w:id="0"/>
    <w:p>
      <w:pPr>
        <w:pStyle w:val="BodyText"/>
      </w:pPr>
      <w:r>
        <w:t xml:space="preserve">Получаю исполняемый файл для работы с GDB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</w:t>
      </w:r>
      <w:r>
        <w:t xml:space="preserve"> </w:t>
      </w:r>
      <w:r>
        <w:t xml:space="preserve">Загружаю исполняемый файл в отладчик gdb.</w:t>
      </w:r>
      <w:r>
        <w:t xml:space="preserve"> </w:t>
      </w:r>
      <w:r>
        <w:t xml:space="preserve">Проверяю работу программы, запустив ее в оболочке GDB с помощью команды run. (рис.7)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2999091"/>
            <wp:effectExtent b="0" l="0" r="0" t="0"/>
            <wp:docPr descr="Figure 7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Выполнение программы</w:t>
      </w:r>
    </w:p>
    <w:bookmarkEnd w:id="0"/>
    <w:p>
      <w:pPr>
        <w:pStyle w:val="BodyText"/>
      </w:pPr>
      <w:r>
        <w:t xml:space="preserve">Для более подробного анализа программы устанавливаю брейкпоинт на метку _start и запускаю её.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205947"/>
            <wp:effectExtent b="0" l="0" r="0" t="0"/>
            <wp:docPr descr="Figure 8: Анализ программы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5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Анализ программы</w:t>
      </w:r>
    </w:p>
    <w:bookmarkEnd w:id="0"/>
    <w:p>
      <w:pPr>
        <w:pStyle w:val="BodyText"/>
      </w:pPr>
      <w:r>
        <w:t xml:space="preserve">Просматриваю дисассимилированный код программы с помощью команды disassemble, начиная с метки _start, и переключаюсь на отображение команд с синтаксисом Intel, введя команду set disassembly-flavor intel. (рис.9)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5519530"/>
            <wp:effectExtent b="0" l="0" r="0" t="0"/>
            <wp:docPr descr="Figure 9: Дисассимилированный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Дисассимилированный код программы</w:t>
      </w:r>
    </w:p>
    <w:bookmarkEnd w:id="0"/>
    <w:p>
      <w:pPr>
        <w:pStyle w:val="BodyText"/>
      </w:pPr>
      <w:r>
        <w:t xml:space="preserve">Включаю режим псевдографики для более удобного анализа программы с помощью команд layout asm и layout regs. (рис.10)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767101"/>
            <wp:effectExtent b="0" l="0" r="0" t="0"/>
            <wp:docPr descr="Figure 10: Режим псевдографики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Режим псевдографики</w:t>
      </w:r>
    </w:p>
    <w:bookmarkEnd w:id="0"/>
    <w:p>
      <w:pPr>
        <w:pStyle w:val="BodyText"/>
      </w:pPr>
      <w:r>
        <w:t xml:space="preserve">Добавление точек останова</w:t>
      </w:r>
    </w:p>
    <w:p>
      <w:pPr>
        <w:pStyle w:val="BodyText"/>
      </w:pPr>
      <w:r>
        <w:t xml:space="preserve">Проверяю, что точка останова по имени метки _start установлена с помощью команды info breakpoints и устанавливаю еще одну точку останова по адресу инструкции mov ebx,0x0. Просматриваю информацию о всех установленных точках останова. (рис.11)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972418"/>
            <wp:effectExtent b="0" l="0" r="0" t="0"/>
            <wp:docPr descr="Figure 11: Добавление точек останова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Добавление точек останова</w:t>
      </w:r>
    </w:p>
    <w:bookmarkEnd w:id="0"/>
    <w:p>
      <w:pPr>
        <w:pStyle w:val="BodyText"/>
      </w:pPr>
      <w:r>
        <w:t xml:space="preserve">Работа с данными программы в GDB</w:t>
      </w:r>
    </w:p>
    <w:p>
      <w:pPr>
        <w:pStyle w:val="BodyText"/>
      </w:pPr>
      <w:r>
        <w:t xml:space="preserve">Выполните 5 инструкций с помощью команды stepi (или si). (рис.12-16)</w:t>
      </w:r>
    </w:p>
    <w:p>
      <w:pPr>
        <w:pStyle w:val="BodyText"/>
      </w:pPr>
      <w:bookmarkStart w:id="47" w:name="fig:001"/>
      <w:r>
        <w:drawing>
          <wp:inline>
            <wp:extent cx="5334000" cy="208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 </w:t>
      </w:r>
      <w:bookmarkStart w:id="49" w:name="fig:001"/>
      <w:r>
        <w:drawing>
          <wp:inline>
            <wp:extent cx="5334000" cy="2083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bookmarkStart w:id="51" w:name="fig:001"/>
      <w:r>
        <w:drawing>
          <wp:inline>
            <wp:extent cx="5334000" cy="2066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рис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3" w:name="fig:001"/>
      <w:r>
        <w:drawing>
          <wp:inline>
            <wp:extent cx="5334000" cy="2066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рис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5" w:name="fig:001"/>
      <w:r>
        <w:drawing>
          <wp:inline>
            <wp:extent cx="5334000" cy="20667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рис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]</w:t>
      </w:r>
    </w:p>
    <w:p>
      <w:pPr>
        <w:pStyle w:val="BodyText"/>
      </w:pPr>
      <w:r>
        <w:t xml:space="preserve">Изменились значения регистров eax, ecx, edx и ebx.</w:t>
      </w:r>
    </w:p>
    <w:p>
      <w:pPr>
        <w:pStyle w:val="BodyText"/>
      </w:pPr>
      <w:r>
        <w:t xml:space="preserve">Просматриваю значение переменной msg1 по имени с помощью команды x/1sb &amp;msg1 и значение переменной msg2 по ее адресу.(рис.17)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003800" cy="1333500"/>
            <wp:effectExtent b="0" l="0" r="0" t="0"/>
            <wp:docPr descr="Figure 12: Значение переменных msg1 иmsg2" title="" id="1" name="Picture"/>
            <a:graphic>
              <a:graphicData uri="http://schemas.openxmlformats.org/drawingml/2006/picture">
                <pic:pic>
                  <pic:nvPicPr>
                    <pic:cNvPr descr="image/рис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12: Значение переменных msg1 иmsg2</w:t>
      </w:r>
    </w:p>
    <w:bookmarkEnd w:id="0"/>
    <w:p>
      <w:pPr>
        <w:pStyle w:val="BodyText"/>
      </w:pPr>
      <w:r>
        <w:t xml:space="preserve">С помощью команды set изменяю первый символ переменной msg1 и заменяю первый символ в переменной msg2. (рис.18)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4775200" cy="1231900"/>
            <wp:effectExtent b="0" l="0" r="0" t="0"/>
            <wp:docPr descr="Figure 13: Замена символов переменных msg1 иmsg2" title="" id="1" name="Picture"/>
            <a:graphic>
              <a:graphicData uri="http://schemas.openxmlformats.org/drawingml/2006/picture">
                <pic:pic>
                  <pic:nvPicPr>
                    <pic:cNvPr descr="image/рис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13: Замена символов переменных msg1 иmsg2</w:t>
      </w:r>
    </w:p>
    <w:bookmarkEnd w:id="0"/>
    <w:p>
      <w:pPr>
        <w:pStyle w:val="BodyText"/>
      </w:pPr>
      <w:r>
        <w:t xml:space="preserve">Вывожу значение регистра edx в шестнадцатеричном, двоичном формате и в символьном виде. (рис. 19)</w:t>
      </w:r>
    </w:p>
    <w:bookmarkStart w:id="0" w:name="fig:001"/>
    <w:p>
      <w:pPr>
        <w:pStyle w:val="CaptionedFigure"/>
      </w:pPr>
      <w:bookmarkStart w:id="61" w:name="fig:001"/>
      <w:r>
        <w:drawing>
          <wp:inline>
            <wp:extent cx="4775200" cy="1473200"/>
            <wp:effectExtent b="0" l="0" r="0" t="0"/>
            <wp:docPr descr="Figure 14: Значения регистра edx" title="" id="1" name="Picture"/>
            <a:graphic>
              <a:graphicData uri="http://schemas.openxmlformats.org/drawingml/2006/picture">
                <pic:pic>
                  <pic:nvPicPr>
                    <pic:cNvPr descr="image/рис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14: Значения регистра edx</w:t>
      </w:r>
    </w:p>
    <w:bookmarkEnd w:id="0"/>
    <w:p>
      <w:pPr>
        <w:pStyle w:val="BodyText"/>
      </w:pPr>
      <w:r>
        <w:t xml:space="preserve">С помощью команды set изменяю значение регистра ebx. (рис.20)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4775200" cy="1473200"/>
            <wp:effectExtent b="0" l="0" r="0" t="0"/>
            <wp:docPr descr="Figure 15: Изменение регистра edx" title="" id="1" name="Picture"/>
            <a:graphic>
              <a:graphicData uri="http://schemas.openxmlformats.org/drawingml/2006/picture">
                <pic:pic>
                  <pic:nvPicPr>
                    <pic:cNvPr descr="image/рис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15: Изменение регистра edx</w:t>
      </w:r>
    </w:p>
    <w:bookmarkEnd w:id="0"/>
    <w:p>
      <w:pPr>
        <w:pStyle w:val="BodyText"/>
      </w:pPr>
      <w:r>
        <w:t xml:space="preserve">Разница вывода команд p/s $ebx отличается тем, что в первом случае мы переводим символ в его строковый вид, а во втором случае число в строковом виде не изменяется.</w:t>
      </w:r>
    </w:p>
    <w:p>
      <w:pPr>
        <w:pStyle w:val="BodyText"/>
      </w:pPr>
      <w:r>
        <w:t xml:space="preserve">Выхожу из GDB с помощью команды quit.</w:t>
      </w:r>
    </w:p>
    <w:p>
      <w:pPr>
        <w:numPr>
          <w:ilvl w:val="0"/>
          <w:numId w:val="1004"/>
        </w:numPr>
        <w:pStyle w:val="Compact"/>
      </w:pP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Копируйте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lab09-3.asm. Создаю исполняемый файл. Загружаю исполняемый файл в отладчик gdb. (рис.21)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2657508"/>
            <wp:effectExtent b="0" l="0" r="0" t="0"/>
            <wp:docPr descr="Figure 16: Действия с файлом lab8-2.asm" title="" id="1" name="Picture"/>
            <a:graphic>
              <a:graphicData uri="http://schemas.openxmlformats.org/drawingml/2006/picture">
                <pic:pic>
                  <pic:nvPicPr>
                    <pic:cNvPr descr="image/рис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16: Действия с файлом lab8-2.asm</w:t>
      </w:r>
    </w:p>
    <w:bookmarkEnd w:id="0"/>
    <w:p>
      <w:pPr>
        <w:pStyle w:val="BodyText"/>
      </w:pPr>
      <w:r>
        <w:t xml:space="preserve">Устанавливаю точку останова перед первой инструкцией в программе и запускаем ее.</w:t>
      </w:r>
      <w:r>
        <w:t xml:space="preserve"> </w:t>
      </w:r>
      <w:r>
        <w:t xml:space="preserve">ее. Адрес вершины стека, который храниться в регистре esp и по этому адресу располагается число равное количеству аргументов компандной строки. (рис.22)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1284462"/>
            <wp:effectExtent b="0" l="0" r="0" t="0"/>
            <wp:docPr descr="Figure 17: " title="" id="1" name="Picture"/>
            <a:graphic>
              <a:graphicData uri="http://schemas.openxmlformats.org/drawingml/2006/picture">
                <pic:pic>
                  <pic:nvPicPr>
                    <pic:cNvPr descr="image/рис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pStyle w:val="BodyText"/>
      </w:pPr>
      <w:r>
        <w:t xml:space="preserve">Посматриваю вершину стека и позиции стека по их адресам. (рис.23)</w:t>
      </w:r>
    </w:p>
    <w:bookmarkStart w:id="0" w:name="fig:001"/>
    <w:p>
      <w:pPr>
        <w:pStyle w:val="CaptionedFigure"/>
      </w:pPr>
      <w:bookmarkStart w:id="69" w:name="fig:001"/>
      <w:r>
        <w:drawing>
          <wp:inline>
            <wp:extent cx="5334000" cy="1753001"/>
            <wp:effectExtent b="0" l="0" r="0" t="0"/>
            <wp:docPr descr="Figure 18: Вершины стека" title="" id="1" name="Picture"/>
            <a:graphic>
              <a:graphicData uri="http://schemas.openxmlformats.org/drawingml/2006/picture">
                <pic:pic>
                  <pic:nvPicPr>
                    <pic:cNvPr descr="image/рис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18: Вершины стека</w:t>
      </w:r>
    </w:p>
    <w:bookmarkEnd w:id="0"/>
    <w:p>
      <w:pPr>
        <w:numPr>
          <w:ilvl w:val="0"/>
          <w:numId w:val="1005"/>
        </w:numPr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5"/>
        </w:numPr>
      </w:pPr>
      <w:r>
        <w:t xml:space="preserve">Преобразовываю программу из лабораторной работы №8 (Задание №1 для самостоятельной работы), реализовав вычисление значения функции f(x) как подпрограмму. Создаю исполнительный файл и выполняю программу. (рис.24)</w:t>
      </w:r>
    </w:p>
    <w:bookmarkStart w:id="0" w:name="fig:001"/>
    <w:p>
      <w:pPr>
        <w:pStyle w:val="CaptionedFigure"/>
      </w:pPr>
      <w:bookmarkStart w:id="71" w:name="fig:001"/>
      <w:r>
        <w:drawing>
          <wp:inline>
            <wp:extent cx="5334000" cy="731120"/>
            <wp:effectExtent b="0" l="0" r="0" t="0"/>
            <wp:docPr descr="Figure 19: Измененный код программы из лабораторной работы №8" title="" id="1" name="Picture"/>
            <a:graphic>
              <a:graphicData uri="http://schemas.openxmlformats.org/drawingml/2006/picture">
                <pic:pic>
                  <pic:nvPicPr>
                    <pic:cNvPr descr="image/рис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19: Измененный код программы из лабораторной работы №8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edi,10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sub eax,1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cmp ecx,0h</w:t>
      </w:r>
    </w:p>
    <w:p>
      <w:pPr>
        <w:pStyle w:val="BodyText"/>
      </w:pPr>
      <w:r>
        <w:t xml:space="preserve">jz .done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.done: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p>
      <w:pPr>
        <w:pStyle w:val="BodyText"/>
      </w:pPr>
      <w:r>
        <w:t xml:space="preserve">ret</w:t>
      </w:r>
    </w:p>
    <w:p>
      <w:pPr>
        <w:pStyle w:val="Heading1"/>
      </w:pPr>
      <w:bookmarkStart w:id="72" w:name="вывод"/>
      <w:r>
        <w:t xml:space="preserve">Вывод</w:t>
      </w:r>
      <w:bookmarkEnd w:id="72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написания программ с использованием подпрограмм, познакомилась с методами отладки при помощи GDB и его основными возможностями.</w:t>
      </w:r>
    </w:p>
    <w:p>
      <w:pPr>
        <w:pStyle w:val="Heading1"/>
      </w:pPr>
      <w:bookmarkStart w:id="73" w:name="список-литературы"/>
      <w:r>
        <w:t xml:space="preserve">Список литературы</w:t>
      </w:r>
      <w:bookmarkEnd w:id="73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№9</dc:title>
  <dc:creator>Еремина Оксана Андреевна НКАбд-02-23</dc:creator>
  <dc:language>ru-RU</dc:language>
  <cp:keywords/>
  <dcterms:created xsi:type="dcterms:W3CDTF">2023-12-06T14:25:26Z</dcterms:created>
  <dcterms:modified xsi:type="dcterms:W3CDTF">2023-12-06T14:25:26Z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