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Дискретно-событийное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Еремина</w:t>
      </w:r>
      <w:r>
        <w:t xml:space="preserve"> </w:t>
      </w:r>
      <w:r>
        <w:t xml:space="preserve">Оксана</w:t>
      </w:r>
      <w:r>
        <w:t xml:space="preserve"> </w:t>
      </w:r>
      <w:r>
        <w:t xml:space="preserve">Андреевна</w:t>
      </w:r>
    </w:p>
    <w:p>
      <w:pPr>
        <w:pStyle w:val="Date"/>
      </w:pPr>
      <w:r>
        <w:t xml:space="preserve">2026-05-16</w:t>
      </w:r>
    </w:p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pStyle w:val="FirstParagraph"/>
      </w:pPr>
      <w:r>
        <w:t xml:space="preserve">Изучить и реализовать две модели систем массового обслуживания — М/М/с и модель Росса — с использованием дискретно-событийного моделирования на языке Julia. Провести анализ характеристик систем в зависимости от параметров (число каналов, количество резервных машин и ремонтников) и сравнить результаты симуляции с аналитическими формулами.</w:t>
      </w:r>
    </w:p>
    <w:p>
      <w:pPr>
        <w:pStyle w:val="Heading1"/>
      </w:pPr>
      <w:bookmarkStart w:id="21" w:name="задание"/>
      <w:r>
        <w:t xml:space="preserve">Задание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Создать рабочий каталог для кода.</w:t>
      </w:r>
    </w:p>
    <w:p>
      <w:pPr>
        <w:numPr>
          <w:ilvl w:val="0"/>
          <w:numId w:val="1001"/>
        </w:numPr>
        <w:pStyle w:val="Compact"/>
      </w:pPr>
      <w:r>
        <w:t xml:space="preserve">Установить необходимые пакеты.</w:t>
      </w:r>
    </w:p>
    <w:p>
      <w:pPr>
        <w:numPr>
          <w:ilvl w:val="0"/>
          <w:numId w:val="1001"/>
        </w:numPr>
        <w:pStyle w:val="Compact"/>
      </w:pPr>
      <w:r>
        <w:t xml:space="preserve">Выполнить предложенный код.</w:t>
      </w:r>
    </w:p>
    <w:p>
      <w:pPr>
        <w:numPr>
          <w:ilvl w:val="0"/>
          <w:numId w:val="1001"/>
        </w:numPr>
        <w:pStyle w:val="Compact"/>
      </w:pPr>
      <w:r>
        <w:t xml:space="preserve">Преобразовать код в литературный стиль.</w:t>
      </w:r>
    </w:p>
    <w:p>
      <w:pPr>
        <w:numPr>
          <w:ilvl w:val="0"/>
          <w:numId w:val="1001"/>
        </w:numPr>
        <w:pStyle w:val="Compact"/>
      </w:pPr>
      <w:r>
        <w:t xml:space="preserve">Выполнить код из jupyter notebook.</w:t>
      </w:r>
    </w:p>
    <w:p>
      <w:pPr>
        <w:numPr>
          <w:ilvl w:val="0"/>
          <w:numId w:val="1001"/>
        </w:numPr>
        <w:pStyle w:val="Compact"/>
      </w:pPr>
      <w:r>
        <w:t xml:space="preserve">Интегрировать документацию в формате Quarto в отчёт.</w:t>
      </w:r>
    </w:p>
    <w:p>
      <w:pPr>
        <w:numPr>
          <w:ilvl w:val="0"/>
          <w:numId w:val="1001"/>
        </w:numPr>
        <w:pStyle w:val="Compact"/>
      </w:pPr>
      <w:r>
        <w:t xml:space="preserve">Добавить в код в литературном стиле вычисление для набора параметров.</w:t>
      </w:r>
    </w:p>
    <w:p>
      <w:pPr>
        <w:numPr>
          <w:ilvl w:val="0"/>
          <w:numId w:val="1001"/>
        </w:numPr>
        <w:pStyle w:val="Compact"/>
      </w:pPr>
      <w:r>
        <w:t xml:space="preserve">Выполнить код из jupyter notebook с параметрами.</w:t>
      </w:r>
    </w:p>
    <w:p>
      <w:pPr>
        <w:numPr>
          <w:ilvl w:val="0"/>
          <w:numId w:val="1001"/>
        </w:numPr>
        <w:pStyle w:val="Compact"/>
      </w:pPr>
      <w:r>
        <w:t xml:space="preserve">Интегрировать документацию с параметрами в формате Quarto в отчёт</w:t>
      </w:r>
    </w:p>
    <w:p>
      <w:pPr>
        <w:pStyle w:val="Heading1"/>
      </w:pPr>
      <w:bookmarkStart w:id="22" w:name="теоретическое-введение"/>
      <w:r>
        <w:t xml:space="preserve">Теоретическое введение</w:t>
      </w:r>
      <w:bookmarkEnd w:id="22"/>
    </w:p>
    <w:p>
      <w:pPr>
        <w:pStyle w:val="Heading2"/>
      </w:pPr>
      <w:bookmarkStart w:id="23" w:name="модель-ммс"/>
      <w:r>
        <w:t xml:space="preserve">Модель М/М/с</w:t>
      </w:r>
      <w:bookmarkEnd w:id="23"/>
    </w:p>
    <w:p>
      <w:pPr>
        <w:pStyle w:val="FirstParagraph"/>
      </w:pPr>
      <w:r>
        <w:t xml:space="preserve">Модель М/М/с — это классическая система массового обслуживания с: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пуассоновским входящим потоком</w:t>
      </w:r>
      <w:r>
        <w:t xml:space="preserve"> </w:t>
      </w:r>
      <w:r>
        <w:t xml:space="preserve">(интервалы между заявками распределены экспоненциально с параметром</w:t>
      </w:r>
      <w:r>
        <w:t xml:space="preserve"> </w:t>
      </w:r>
      <m:oMath>
        <m:r>
          <m:t>λ</m:t>
        </m:r>
      </m:oMath>
      <w: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экспоненциальным временем обслуживания</w:t>
      </w:r>
      <w:r>
        <w:t xml:space="preserve"> </w:t>
      </w:r>
      <w:r>
        <w:t xml:space="preserve">(с параметром</w:t>
      </w:r>
      <w:r>
        <w:t xml:space="preserve"> </w:t>
      </w:r>
      <m:oMath>
        <m:r>
          <m:t>μ</m:t>
        </m:r>
      </m:oMath>
      <w: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 параллельными каналами</w:t>
      </w:r>
      <w:r>
        <w:t xml:space="preserve"> </w:t>
      </w:r>
      <w:r>
        <w:t xml:space="preserve">(серверами).</w:t>
      </w:r>
    </w:p>
    <w:p>
      <w:pPr>
        <w:pStyle w:val="FirstParagraph"/>
      </w:pPr>
      <w:r>
        <w:rPr>
          <w:b/>
        </w:rPr>
        <w:t xml:space="preserve">Ключевые аналитические характеристики:</w:t>
      </w:r>
    </w:p>
    <w:p>
      <w:pPr>
        <w:numPr>
          <w:ilvl w:val="0"/>
          <w:numId w:val="1003"/>
        </w:numPr>
        <w:pStyle w:val="Compact"/>
      </w:pPr>
      <w:r>
        <w:t xml:space="preserve">Загрузка системы:</w:t>
      </w:r>
      <w:r>
        <w:t xml:space="preserve"> </w:t>
      </w:r>
      <m:oMath>
        <m:r>
          <m:t>ρ</m:t>
        </m:r>
        <m:r>
          <m:t>=</m:t>
        </m:r>
        <m:r>
          <m:t>λ</m:t>
        </m:r>
        <m:r>
          <m:t>/</m:t>
        </m:r>
        <m:r>
          <m:t>(</m:t>
        </m:r>
        <m:r>
          <m:t>c</m:t>
        </m:r>
        <m:r>
          <m:t>⋅</m:t>
        </m:r>
        <m:r>
          <m:t>μ</m:t>
        </m:r>
        <m:r>
          <m:t>)</m:t>
        </m:r>
      </m:oMath>
      <w:r>
        <w:t xml:space="preserve"> </w:t>
      </w:r>
      <w:r>
        <w:t xml:space="preserve">(условие стационарности:</w:t>
      </w:r>
      <w:r>
        <w:t xml:space="preserve"> </w:t>
      </w:r>
      <m:oMath>
        <m:r>
          <m:t>ρ</m:t>
        </m:r>
        <m:r>
          <m:t>&lt;</m:t>
        </m:r>
        <m:r>
          <m:t>1</m:t>
        </m:r>
      </m:oMath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Вероятность простоя всех каналов: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=</m:t>
          </m:r>
          <m:sSup>
            <m:e>
              <m:d>
                <m:dPr>
                  <m:begChr m:val="[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n</m:t>
                      </m:r>
                      <m:r>
                        <m:t>=</m:t>
                      </m:r>
                      <m:r>
                        <m:t>0</m:t>
                      </m:r>
                    </m:sub>
                    <m:sup>
                      <m:r>
                        <m:t>c</m:t>
                      </m:r>
                      <m: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(</m:t>
                          </m:r>
                          <m:r>
                            <m:t>c</m:t>
                          </m:r>
                          <m:r>
                            <m:t>ρ</m:t>
                          </m:r>
                          <m:sSup>
                            <m:e>
                              <m:r>
                                <m:t>)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m:t>n</m:t>
                          </m:r>
                          <m:r>
                            <m:t>!</m:t>
                          </m:r>
                        </m:den>
                      </m:f>
                    </m:e>
                  </m:nary>
                  <m:r>
                    <m:t>+</m:t>
                  </m:r>
                  <m:f>
                    <m:fPr>
                      <m:type m:val="bar"/>
                    </m:fPr>
                    <m:num>
                      <m:r>
                        <m:t>(</m:t>
                      </m:r>
                      <m:r>
                        <m:t>c</m:t>
                      </m:r>
                      <m:r>
                        <m:t>ρ</m:t>
                      </m:r>
                      <m:sSup>
                        <m:e>
                          <m:r>
                            <m:t>)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</m:num>
                    <m:den>
                      <m:r>
                        <m:t>c</m:t>
                      </m:r>
                      <m:r>
                        <m:t>!</m:t>
                      </m:r>
                      <m:r>
                        <m:t>(</m:t>
                      </m:r>
                      <m:r>
                        <m:t>1</m:t>
                      </m:r>
                      <m:r>
                        <m:t>−</m:t>
                      </m:r>
                      <m:r>
                        <m:t>ρ</m:t>
                      </m:r>
                      <m:r>
                        <m:t>)</m:t>
                      </m:r>
                    </m:den>
                  </m:f>
                </m:e>
              </m:d>
            </m:e>
            <m:sup>
              <m:r>
                <m:t>−</m:t>
              </m:r>
              <m:r>
                <m:t>1</m:t>
              </m:r>
            </m:sup>
          </m:sSup>
        </m:oMath>
      </m:oMathPara>
    </w:p>
    <w:p>
      <w:pPr>
        <w:numPr>
          <w:ilvl w:val="0"/>
          <w:numId w:val="1003"/>
        </w:numPr>
        <w:pStyle w:val="Compact"/>
      </w:pPr>
      <w:r>
        <w:t xml:space="preserve">Вероятность ожидания (формула Эрланга):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wait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(</m:t>
              </m:r>
              <m:r>
                <m:t>c</m:t>
              </m:r>
              <m:r>
                <m:t>ρ</m:t>
              </m:r>
              <m:sSup>
                <m:e>
                  <m:r>
                    <m:t>)</m:t>
                  </m:r>
                </m:e>
                <m:sup>
                  <m:r>
                    <m:t>c</m:t>
                  </m:r>
                </m:sup>
              </m:sSup>
            </m:num>
            <m:den>
              <m:r>
                <m:t>c</m:t>
              </m:r>
              <m:r>
                <m:t>!</m:t>
              </m:r>
              <m:r>
                <m:t>(</m:t>
              </m:r>
              <m:r>
                <m:t>1</m:t>
              </m:r>
              <m:r>
                <m:t>−</m:t>
              </m:r>
              <m:r>
                <m:t>ρ</m:t>
              </m:r>
              <m:r>
                <m:t>)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</m:oMath>
      </m:oMathPara>
    </w:p>
    <w:p>
      <w:pPr>
        <w:numPr>
          <w:ilvl w:val="0"/>
          <w:numId w:val="1003"/>
        </w:numPr>
        <w:pStyle w:val="Compact"/>
      </w:pPr>
      <w:r>
        <w:t xml:space="preserve">Среднее число заявок в очереди: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r>
                <m:t>1</m:t>
              </m:r>
              <m:r>
                <m:t>−</m:t>
              </m:r>
              <m:r>
                <m:t>ρ</m:t>
              </m:r>
            </m:den>
          </m:f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wait</m:t>
              </m:r>
            </m:sub>
          </m:sSub>
        </m:oMath>
      </m:oMathPara>
    </w:p>
    <w:p>
      <w:pPr>
        <w:numPr>
          <w:ilvl w:val="0"/>
          <w:numId w:val="1003"/>
        </w:numPr>
        <w:pStyle w:val="Compact"/>
      </w:pPr>
      <w:r>
        <w:t xml:space="preserve">Формулы Литтла: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λ</m:t>
              </m:r>
            </m:den>
          </m:f>
          <m:r>
            <m:t>,</m:t>
          </m:r>
          <m:r>
            <m:t> </m:t>
          </m:r>
          <m:r>
            <m:t>W</m:t>
          </m:r>
          <m:r>
            <m:t>=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r>
            <m:t>,</m:t>
          </m:r>
          <m:r>
            <m:t> </m:t>
          </m:r>
          <m:r>
            <m:t>L</m:t>
          </m:r>
          <m:r>
            <m:t>=</m:t>
          </m:r>
          <m:r>
            <m:t>λ</m:t>
          </m:r>
          <m:r>
            <m:t>W</m:t>
          </m:r>
        </m:oMath>
      </m:oMathPara>
    </w:p>
    <w:p>
      <w:pPr>
        <w:pStyle w:val="Heading2"/>
      </w:pPr>
      <w:bookmarkStart w:id="24" w:name="модель-росса"/>
      <w:r>
        <w:t xml:space="preserve">Модель Росса</w:t>
      </w:r>
      <w:bookmarkEnd w:id="24"/>
    </w:p>
    <w:p>
      <w:pPr>
        <w:pStyle w:val="FirstParagraph"/>
      </w:pPr>
      <w:r>
        <w:t xml:space="preserve">Модель описывает систему с</w:t>
      </w:r>
      <w:r>
        <w:t xml:space="preserve"> </w:t>
      </w:r>
      <w:r>
        <w:rPr>
          <w:b/>
        </w:rPr>
        <w:t xml:space="preserve">конечной популяцией машин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</w:t>
      </w:r>
      <w:r>
        <w:t xml:space="preserve"> </w:t>
      </w:r>
      <w:r>
        <w:t xml:space="preserve">— работающие машины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</w:t>
      </w:r>
      <w:r>
        <w:t xml:space="preserve"> </w:t>
      </w:r>
      <w:r>
        <w:t xml:space="preserve">— резервные машины (готовых немедленно заменить отказавшие)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</w:t>
      </w:r>
      <w:r>
        <w:t xml:space="preserve"> </w:t>
      </w:r>
      <w:r>
        <w:t xml:space="preserve">— ремонтников (ремонтных устройств)</w:t>
      </w:r>
    </w:p>
    <w:p>
      <w:pPr>
        <w:pStyle w:val="FirstParagraph"/>
      </w:pPr>
      <w:r>
        <w:rPr>
          <w:b/>
        </w:rPr>
        <w:t xml:space="preserve">Логика работы:</w:t>
      </w:r>
    </w:p>
    <w:p>
      <w:pPr>
        <w:numPr>
          <w:ilvl w:val="0"/>
          <w:numId w:val="1005"/>
        </w:numPr>
        <w:pStyle w:val="Compact"/>
      </w:pPr>
      <w:r>
        <w:t xml:space="preserve">Работающая машина ломается через время</w:t>
      </w:r>
      <w:r>
        <w:t xml:space="preserve"> </w:t>
      </w:r>
      <m:oMath>
        <m:r>
          <m:t>∼</m:t>
        </m:r>
        <m:r>
          <m:rPr>
            <m:nor/>
            <m:sty m:val="p"/>
          </m:rPr>
          <m:t>Exp</m:t>
        </m:r>
        <m:r>
          <m:t>(</m:t>
        </m:r>
        <m:r>
          <m:t>λ</m:t>
        </m:r>
        <m:r>
          <m:t>)</m:t>
        </m:r>
      </m:oMath>
    </w:p>
    <w:p>
      <w:pPr>
        <w:numPr>
          <w:ilvl w:val="0"/>
          <w:numId w:val="1005"/>
        </w:numPr>
        <w:pStyle w:val="Compact"/>
      </w:pPr>
      <w:r>
        <w:t xml:space="preserve">Немедленно берётся резервная машина (если есть)</w:t>
      </w:r>
    </w:p>
    <w:p>
      <w:pPr>
        <w:numPr>
          <w:ilvl w:val="0"/>
          <w:numId w:val="1005"/>
        </w:numPr>
        <w:pStyle w:val="Compact"/>
      </w:pPr>
      <w:r>
        <w:t xml:space="preserve">Сломанная машина отправляется в ремонт</w:t>
      </w:r>
      <w:r>
        <w:t xml:space="preserve"> </w:t>
      </w:r>
      <m:oMath>
        <m:r>
          <m:t>∼</m:t>
        </m:r>
        <m:r>
          <m:rPr>
            <m:nor/>
            <m:sty m:val="p"/>
          </m:rPr>
          <m:t>Exp</m:t>
        </m:r>
        <m:r>
          <m:t>(</m:t>
        </m:r>
        <m:r>
          <m:t>μ</m:t>
        </m:r>
        <m:r>
          <m:t>)</m:t>
        </m:r>
      </m:oMath>
    </w:p>
    <w:p>
      <w:pPr>
        <w:numPr>
          <w:ilvl w:val="0"/>
          <w:numId w:val="1005"/>
        </w:numPr>
        <w:pStyle w:val="Compact"/>
      </w:pPr>
      <w:r>
        <w:t xml:space="preserve">После ремонта машина пополняет резерв</w:t>
      </w:r>
    </w:p>
    <w:p>
      <w:pPr>
        <w:numPr>
          <w:ilvl w:val="0"/>
          <w:numId w:val="1005"/>
        </w:numPr>
        <w:pStyle w:val="Compact"/>
      </w:pPr>
      <w:r>
        <w:t xml:space="preserve">Если резерва нет — система падает (crash)</w:t>
      </w:r>
    </w:p>
    <w:p>
      <w:pPr>
        <w:pStyle w:val="FirstParagraph"/>
      </w:pPr>
      <w:r>
        <w:rPr>
          <w:b/>
        </w:rPr>
        <w:t xml:space="preserve">Состояние системы</w:t>
      </w:r>
      <w:r>
        <w:t xml:space="preserve"> </w:t>
      </w:r>
      <w:r>
        <w:t xml:space="preserve">описывается числом исправных машин (работающие + резерв). Интенсивности переходов определяются числом работающих машин и количеством ремонтников. Система падает при переходе из состояния</w:t>
      </w:r>
      <w:r>
        <w:t xml:space="preserve"> </w:t>
      </w:r>
      <m:oMath>
        <m:r>
          <m:t>i</m:t>
        </m:r>
        <m:r>
          <m:t>=</m:t>
        </m:r>
        <m:r>
          <m:t>N</m:t>
        </m:r>
      </m:oMath>
      <w:r>
        <w:t xml:space="preserve"> </w:t>
      </w:r>
      <w:r>
        <w:t xml:space="preserve">в</w:t>
      </w:r>
      <w:r>
        <w:t xml:space="preserve"> </w:t>
      </w:r>
      <m:oMath>
        <m:r>
          <m:t>i</m:t>
        </m:r>
        <m:r>
          <m:t>=</m:t>
        </m:r>
        <m:r>
          <m:t>N</m:t>
        </m:r>
        <m:r>
          <m:t>−</m:t>
        </m:r>
        <m:r>
          <m:t>1</m:t>
        </m:r>
      </m:oMath>
      <w:r>
        <w:t xml:space="preserve">, когда нет резервных машин.</w:t>
      </w:r>
    </w:p>
    <w:p>
      <w:pPr>
        <w:pStyle w:val="Heading1"/>
      </w:pPr>
      <w:bookmarkStart w:id="25" w:name="выполнение-лабораторной-работы"/>
      <w:r>
        <w:t xml:space="preserve">Выполнение лабораторной работы</w:t>
      </w:r>
      <w:bookmarkEnd w:id="25"/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работе.</w:t>
      </w:r>
    </w:p>
    <w:p>
      <w:pPr>
        <w:pStyle w:val="BodyText"/>
      </w:pPr>
      <w:r>
        <w:t xml:space="preserve">Запустила их все, установив необходимые библиотеки (рис.1, рис.2)</w:t>
      </w:r>
    </w:p>
    <w:p>
      <w:pPr>
        <w:pStyle w:val="CaptionedFigure"/>
      </w:pPr>
      <w:bookmarkStart w:id="27" w:name="fig-001"/>
      <w:r>
        <w:drawing>
          <wp:inline>
            <wp:extent cx="5334000" cy="2582391"/>
            <wp:effectExtent b="0" l="0" r="0" t="0"/>
            <wp:docPr descr="Запуск кода" title="" id="1" name="Picture"/>
            <a:graphic>
              <a:graphicData uri="http://schemas.openxmlformats.org/drawingml/2006/picture">
                <pic:pic>
                  <pic:nvPicPr>
                    <pic:cNvPr descr="plots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Запуск кода</w:t>
      </w:r>
    </w:p>
    <w:p>
      <w:pPr>
        <w:pStyle w:val="CaptionedFigure"/>
      </w:pPr>
      <w:bookmarkStart w:id="29" w:name="fig-001"/>
      <w:r>
        <w:drawing>
          <wp:inline>
            <wp:extent cx="5334000" cy="2288102"/>
            <wp:effectExtent b="0" l="0" r="0" t="0"/>
            <wp:docPr descr="Запуск кода" title="" id="1" name="Picture"/>
            <a:graphic>
              <a:graphicData uri="http://schemas.openxmlformats.org/drawingml/2006/picture">
                <pic:pic>
                  <pic:nvPicPr>
                    <pic:cNvPr descr="plots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8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Запуск кода</w:t>
      </w:r>
    </w:p>
    <w:p>
      <w:pPr>
        <w:pStyle w:val="BodyText"/>
      </w:pPr>
      <w:r>
        <w:t xml:space="preserve">Далее создала литературный код для всех основныхх файлов. После скомпелировала чистый код, Jupyter Notebook и Quarto с помощью файла с кодом</w:t>
      </w:r>
      <w:r>
        <w:t xml:space="preserve"> </w:t>
      </w:r>
      <w:r>
        <w:t xml:space="preserve">‘</w:t>
      </w:r>
      <w:r>
        <w:t xml:space="preserve">tangle.jl</w:t>
      </w:r>
      <w:r>
        <w:t xml:space="preserve">’</w:t>
      </w:r>
      <w:r>
        <w:t xml:space="preserve"> </w:t>
      </w:r>
      <w:r>
        <w:t xml:space="preserve">(рис.3, рис.4)</w:t>
      </w:r>
    </w:p>
    <w:p>
      <w:pPr>
        <w:pStyle w:val="CaptionedFigure"/>
      </w:pPr>
      <w:bookmarkStart w:id="31" w:name="fig-001"/>
      <w:r>
        <w:drawing>
          <wp:inline>
            <wp:extent cx="5334000" cy="2015884"/>
            <wp:effectExtent b="0" l="0" r="0" t="0"/>
            <wp:docPr descr="Компиляция run_ross.jl" title="" id="1" name="Picture"/>
            <a:graphic>
              <a:graphicData uri="http://schemas.openxmlformats.org/drawingml/2006/picture">
                <pic:pic>
                  <pic:nvPicPr>
                    <pic:cNvPr descr="plots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5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Компиляция run_ross.jl</w:t>
      </w:r>
    </w:p>
    <w:p>
      <w:pPr>
        <w:pStyle w:val="CaptionedFigure"/>
      </w:pPr>
      <w:bookmarkStart w:id="33" w:name="fig-001"/>
      <w:r>
        <w:drawing>
          <wp:inline>
            <wp:extent cx="5334000" cy="1066800"/>
            <wp:effectExtent b="0" l="0" r="0" t="0"/>
            <wp:docPr descr="Компиляция mmc.jl" title="" id="1" name="Picture"/>
            <a:graphic>
              <a:graphicData uri="http://schemas.openxmlformats.org/drawingml/2006/picture">
                <pic:pic>
                  <pic:nvPicPr>
                    <pic:cNvPr descr="plots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Компиляция mmc.jl</w:t>
      </w:r>
    </w:p>
    <w:p>
      <w:pPr>
        <w:pStyle w:val="BodyText"/>
      </w:pPr>
      <w:r>
        <w:t xml:space="preserve">Код из файлов и анализ результатов предоставлен ниже.</w:t>
      </w:r>
    </w:p>
    <w:p>
      <w:pPr>
        <w:pStyle w:val="Heading1"/>
      </w:pPr>
      <w:bookmarkStart w:id="34" w:name="параметры-модели-ммс"/>
      <w:r>
        <w:t xml:space="preserve">Параметры модели М/М/с</w:t>
      </w:r>
      <w:bookmarkEnd w:id="34"/>
    </w:p>
    <w:p>
      <w:pPr>
        <w:pStyle w:val="FirstParagraph"/>
      </w:pPr>
      <w:r>
        <w:t xml:space="preserve">num_customers = 1000</w:t>
      </w:r>
      <w:r>
        <w:t xml:space="preserve"> </w:t>
      </w:r>
      <w:r>
        <w:t xml:space="preserve">num_servers = 2</w:t>
      </w:r>
      <w:r>
        <w:t xml:space="preserve"> </w:t>
      </w:r>
      <w:r>
        <w:t xml:space="preserve">mu = 1.0 / 2.0 # интенсивность обслуживания</w:t>
      </w:r>
      <w:r>
        <w:t xml:space="preserve"> </w:t>
      </w:r>
      <w:r>
        <w:t xml:space="preserve">lam = 0.9 # интенсивность поступления</w:t>
      </w:r>
    </w:p>
    <w:p>
      <w:pPr>
        <w:pStyle w:val="BodyText"/>
      </w:pPr>
      <w:r>
        <w:t xml:space="preserve">arrival_dist = Exponential(1 / lam)</w:t>
      </w:r>
      <w:r>
        <w:t xml:space="preserve"> </w:t>
      </w:r>
      <w:r>
        <w:t xml:space="preserve">service_dist = Exponential(1 / mu)</w:t>
      </w:r>
    </w:p>
    <w:p>
      <w:pPr>
        <w:pStyle w:val="CaptionedFigure"/>
      </w:pPr>
      <w:bookmarkStart w:id="36" w:name="fig-001"/>
      <w:r>
        <w:drawing>
          <wp:inline>
            <wp:extent cx="5334000" cy="4000500"/>
            <wp:effectExtent b="0" l="0" r="0" t="0"/>
            <wp:docPr descr="График аналитических характеристик" title="" id="1" name="Picture"/>
            <a:graphic>
              <a:graphicData uri="http://schemas.openxmlformats.org/drawingml/2006/picture">
                <pic:pic>
                  <pic:nvPicPr>
                    <pic:cNvPr descr="plots/mmc_analyti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График аналитических характеристик</w:t>
      </w:r>
    </w:p>
    <w:p>
      <w:pPr>
        <w:pStyle w:val="Heading2"/>
      </w:pPr>
      <w:bookmarkStart w:id="37" w:name="анализ-результатов"/>
      <w:r>
        <w:t xml:space="preserve">Анализ результатов</w:t>
      </w:r>
      <w:bookmarkEnd w:id="37"/>
    </w:p>
    <w:p>
      <w:pPr>
        <w:pStyle w:val="FirstParagraph"/>
      </w:pPr>
      <w:r>
        <w:rPr>
          <w:b/>
        </w:rPr>
        <w:t xml:space="preserve">Для модели М/М/с:</w:t>
      </w:r>
    </w:p>
    <w:p>
      <w:pPr>
        <w:pStyle w:val="BodyText"/>
      </w:pPr>
      <w:r>
        <w:t xml:space="preserve">Для модели М/М/с при λ=0.9, μ=0.5, c=2 получены следующие аналитические характеристики: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ρ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Загрузка систем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0.0526 (5.26%)</w:t>
            </w:r>
          </w:p>
        </w:tc>
        <w:tc>
          <w:p>
            <w:pPr>
              <w:pStyle w:val="Compact"/>
              <w:jc w:val="left"/>
            </w:pPr>
            <w:r>
              <w:t xml:space="preserve">Вероятность простоя всех каналов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Pwait</w:t>
            </w:r>
          </w:p>
        </w:tc>
        <w:tc>
          <w:p>
            <w:pPr>
              <w:pStyle w:val="Compact"/>
              <w:jc w:val="left"/>
            </w:pPr>
            <w:r>
              <w:t xml:space="preserve">0.8526 (85.26%)</w:t>
            </w:r>
          </w:p>
        </w:tc>
        <w:tc>
          <w:p>
            <w:pPr>
              <w:pStyle w:val="Compact"/>
              <w:jc w:val="left"/>
            </w:pPr>
            <w:r>
              <w:t xml:space="preserve">Вероятность ожидания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Lq</w:t>
            </w:r>
          </w:p>
        </w:tc>
        <w:tc>
          <w:p>
            <w:pPr>
              <w:pStyle w:val="Compact"/>
              <w:jc w:val="left"/>
            </w:pPr>
            <w:r>
              <w:t xml:space="preserve">7.674</w:t>
            </w:r>
          </w:p>
        </w:tc>
        <w:tc>
          <w:p>
            <w:pPr>
              <w:pStyle w:val="Compact"/>
              <w:jc w:val="left"/>
            </w:pPr>
            <w:r>
              <w:t xml:space="preserve">Среднее число заявок в очереди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Wq</w:t>
            </w:r>
          </w:p>
        </w:tc>
        <w:tc>
          <w:p>
            <w:pPr>
              <w:pStyle w:val="Compact"/>
              <w:jc w:val="left"/>
            </w:pPr>
            <w:r>
              <w:t xml:space="preserve">8.526 ч</w:t>
            </w:r>
          </w:p>
        </w:tc>
        <w:tc>
          <w:p>
            <w:pPr>
              <w:pStyle w:val="Compact"/>
              <w:jc w:val="left"/>
            </w:pPr>
            <w:r>
              <w:t xml:space="preserve">Среднее время ожидания в очереди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p>
            <w:pPr>
              <w:pStyle w:val="Compact"/>
              <w:jc w:val="left"/>
            </w:pPr>
            <w:r>
              <w:t xml:space="preserve">10.526 ч</w:t>
            </w:r>
          </w:p>
        </w:tc>
        <w:tc>
          <w:p>
            <w:pPr>
              <w:pStyle w:val="Compact"/>
              <w:jc w:val="left"/>
            </w:pPr>
            <w:r>
              <w:t xml:space="preserve">Среднее время пребывания в системе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9.474</w:t>
            </w:r>
          </w:p>
        </w:tc>
        <w:tc>
          <w:p>
            <w:pPr>
              <w:pStyle w:val="Compact"/>
              <w:jc w:val="left"/>
            </w:pPr>
            <w:r>
              <w:t xml:space="preserve">Среднее число заявок в системе</w:t>
            </w:r>
          </w:p>
        </w:tc>
      </w:tr>
    </w:tbl>
    <w:p>
      <w:pPr>
        <w:pStyle w:val="BodyText"/>
      </w:pPr>
      <w:r>
        <w:t xml:space="preserve">Построен график зависимости вероятности ожидания Pwait от интенсивности входящего потока λ для различного числа каналов c = 1, 2, 3, 4.</w:t>
      </w:r>
    </w:p>
    <w:p>
      <w:pPr>
        <w:pStyle w:val="Heading1"/>
      </w:pPr>
      <w:bookmarkStart w:id="38" w:name="параметры-модели-росса"/>
      <w:r>
        <w:t xml:space="preserve">Параметры модели Росса</w:t>
      </w:r>
      <w:bookmarkEnd w:id="38"/>
    </w:p>
    <w:p>
      <w:pPr>
        <w:pStyle w:val="FirstParagraph"/>
      </w:pPr>
      <w:r>
        <w:t xml:space="preserve">const RUNS = 20</w:t>
      </w:r>
      <w:r>
        <w:t xml:space="preserve"> </w:t>
      </w:r>
      <w:r>
        <w:t xml:space="preserve">const N_DEFAULT = 10</w:t>
      </w:r>
      <w:r>
        <w:t xml:space="preserve"> </w:t>
      </w:r>
      <w:r>
        <w:t xml:space="preserve">const S_DEFAULT = 3</w:t>
      </w:r>
      <w:r>
        <w:t xml:space="preserve"> </w:t>
      </w:r>
      <w:r>
        <w:t xml:space="preserve">const R_DEFAULT = 2</w:t>
      </w:r>
      <w:r>
        <w:t xml:space="preserve"> </w:t>
      </w:r>
      <w:r>
        <w:t xml:space="preserve">const LAMBDA = 100.0 # среднее время безотказной работы (часов)</w:t>
      </w:r>
      <w:r>
        <w:t xml:space="preserve"> </w:t>
      </w:r>
      <w:r>
        <w:t xml:space="preserve">const MU = 1.0 # среднее время ремонта (часов)</w:t>
      </w:r>
    </w:p>
    <w:p>
      <w:pPr>
        <w:pStyle w:val="CaptionedFigure"/>
      </w:pPr>
      <w:bookmarkStart w:id="40" w:name="fig-001"/>
      <w:r>
        <w:drawing>
          <wp:inline>
            <wp:extent cx="5334000" cy="6670842"/>
            <wp:effectExtent b="0" l="0" r="0" t="0"/>
            <wp:docPr descr="Динамика системы" title="" id="1" name="Picture"/>
            <a:graphic>
              <a:graphicData uri="http://schemas.openxmlformats.org/drawingml/2006/picture">
                <pic:pic>
                  <pic:nvPicPr>
                    <pic:cNvPr descr="plots/ross_dynami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Динамика системы</w:t>
      </w:r>
    </w:p>
    <w:p>
      <w:pPr>
        <w:pStyle w:val="Heading2"/>
      </w:pPr>
      <w:bookmarkStart w:id="41" w:name="тепловые-карты"/>
      <w:r>
        <w:t xml:space="preserve">Тепловые карты</w:t>
      </w:r>
      <w:bookmarkEnd w:id="41"/>
    </w:p>
    <w:p>
      <w:pPr>
        <w:pStyle w:val="CaptionedFigure"/>
      </w:pPr>
      <w:bookmarkStart w:id="43" w:name="fig-001"/>
      <w:r>
        <w:drawing>
          <wp:inline>
            <wp:extent cx="5334000" cy="3556000"/>
            <wp:effectExtent b="0" l="0" r="0" t="0"/>
            <wp:docPr descr="Тепловые карты" title="" id="1" name="Picture"/>
            <a:graphic>
              <a:graphicData uri="http://schemas.openxmlformats.org/drawingml/2006/picture">
                <pic:pic>
                  <pic:nvPicPr>
                    <pic:cNvPr descr="plots/ross_heatmap_R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Тепловые карты</w:t>
      </w:r>
    </w:p>
    <w:p>
      <w:pPr>
        <w:pStyle w:val="CaptionedFigure"/>
      </w:pPr>
      <w:bookmarkStart w:id="45" w:name="fig-001"/>
      <w:r>
        <w:drawing>
          <wp:inline>
            <wp:extent cx="5334000" cy="3556000"/>
            <wp:effectExtent b="0" l="0" r="0" t="0"/>
            <wp:docPr descr="Тепловые карты" title="" id="1" name="Picture"/>
            <a:graphic>
              <a:graphicData uri="http://schemas.openxmlformats.org/drawingml/2006/picture">
                <pic:pic>
                  <pic:nvPicPr>
                    <pic:cNvPr descr="plots/ross_heatmap_R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Тепловые карты</w:t>
      </w:r>
    </w:p>
    <w:p>
      <w:pPr>
        <w:pStyle w:val="Heading2"/>
      </w:pPr>
      <w:bookmarkStart w:id="46" w:name="результаты-экспериментов"/>
      <w:r>
        <w:t xml:space="preserve">Результаты экспериментов</w:t>
      </w:r>
      <w:bookmarkEnd w:id="46"/>
    </w:p>
    <w:p>
      <w:pPr>
        <w:pStyle w:val="FirstParagraph"/>
      </w:pPr>
      <w:r>
        <w:t xml:space="preserve">Проведены прогоны для различных комбинаций параметров (N, S, R) с 20 запусками для каждой конфигурации.</w:t>
      </w:r>
    </w:p>
    <w:p>
      <w:pPr>
        <w:pStyle w:val="BodyText"/>
      </w:pPr>
      <w:r>
        <w:t xml:space="preserve">Результаты симуляции: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Среднее время до падения (ч)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Стандартное отклонение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56.7</w:t>
            </w:r>
          </w:p>
        </w:tc>
        <w:tc>
          <w:p>
            <w:pPr>
              <w:pStyle w:val="Compact"/>
              <w:jc w:val="left"/>
            </w:pPr>
            <w:r>
              <w:t xml:space="preserve">±29.9</w:t>
            </w:r>
          </w:p>
        </w:tc>
        <w:tc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p>
            <w:pPr>
              <w:pStyle w:val="Compact"/>
              <w:jc w:val="left"/>
            </w:pPr>
            <w:r>
              <w:t xml:space="preserve">93.1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48.7</w:t>
            </w:r>
          </w:p>
        </w:tc>
        <w:tc>
          <w:p>
            <w:pPr>
              <w:pStyle w:val="Compact"/>
              <w:jc w:val="left"/>
            </w:pPr>
            <w:r>
              <w:t xml:space="preserve">±31.5</w:t>
            </w:r>
          </w:p>
        </w:tc>
        <w:tc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p>
            <w:pPr>
              <w:pStyle w:val="Compact"/>
              <w:jc w:val="left"/>
            </w:pPr>
            <w:r>
              <w:t xml:space="preserve">92.5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59.4</w:t>
            </w:r>
          </w:p>
        </w:tc>
        <w:tc>
          <w:p>
            <w:pPr>
              <w:pStyle w:val="Compact"/>
              <w:jc w:val="left"/>
            </w:pPr>
            <w:r>
              <w:t xml:space="preserve">±25.2</w:t>
            </w:r>
          </w:p>
        </w:tc>
        <w:tc>
          <w:p>
            <w:pPr>
              <w:pStyle w:val="Compact"/>
              <w:jc w:val="left"/>
            </w:pPr>
            <w:r>
              <w:t xml:space="preserve">36.4</w:t>
            </w:r>
          </w:p>
        </w:tc>
        <w:tc>
          <w:p>
            <w:pPr>
              <w:pStyle w:val="Compact"/>
              <w:jc w:val="left"/>
            </w:pPr>
            <w:r>
              <w:t xml:space="preserve">97.2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65.5</w:t>
            </w:r>
          </w:p>
        </w:tc>
        <w:tc>
          <w:p>
            <w:pPr>
              <w:pStyle w:val="Compact"/>
              <w:jc w:val="left"/>
            </w:pPr>
            <w:r>
              <w:t xml:space="preserve">±48.4</w:t>
            </w:r>
          </w:p>
        </w:tc>
        <w:tc>
          <w:p>
            <w:pPr>
              <w:pStyle w:val="Compact"/>
              <w:jc w:val="left"/>
            </w:pPr>
            <w:r>
              <w:t xml:space="preserve">31.9</w:t>
            </w:r>
          </w:p>
        </w:tc>
        <w:tc>
          <w:p>
            <w:pPr>
              <w:pStyle w:val="Compact"/>
              <w:jc w:val="left"/>
            </w:pPr>
            <w:r>
              <w:t xml:space="preserve">148.4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55.8</w:t>
            </w:r>
          </w:p>
        </w:tc>
        <w:tc>
          <w:p>
            <w:pPr>
              <w:pStyle w:val="Compact"/>
              <w:jc w:val="left"/>
            </w:pPr>
            <w:r>
              <w:t xml:space="preserve">±19.1</w:t>
            </w:r>
          </w:p>
        </w:tc>
        <w:tc>
          <w:p>
            <w:pPr>
              <w:pStyle w:val="Compact"/>
              <w:jc w:val="left"/>
            </w:pPr>
            <w:r>
              <w:t xml:space="preserve">36.1</w:t>
            </w:r>
          </w:p>
        </w:tc>
        <w:tc>
          <w:p>
            <w:pPr>
              <w:pStyle w:val="Compact"/>
              <w:jc w:val="left"/>
            </w:pPr>
            <w:r>
              <w:t xml:space="preserve">78.7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33.4</w:t>
            </w:r>
          </w:p>
        </w:tc>
        <w:tc>
          <w:p>
            <w:pPr>
              <w:pStyle w:val="Compact"/>
              <w:jc w:val="left"/>
            </w:pPr>
            <w:r>
              <w:t xml:space="preserve">±14.1</w:t>
            </w:r>
          </w:p>
        </w:tc>
        <w:tc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p>
            <w:pPr>
              <w:pStyle w:val="Compact"/>
              <w:jc w:val="left"/>
            </w:pPr>
            <w:r>
              <w:t xml:space="preserve">51.8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48.8</w:t>
            </w:r>
          </w:p>
        </w:tc>
        <w:tc>
          <w:p>
            <w:pPr>
              <w:pStyle w:val="Compact"/>
              <w:jc w:val="left"/>
            </w:pPr>
            <w:r>
              <w:t xml:space="preserve">±8.2</w:t>
            </w:r>
          </w:p>
        </w:tc>
        <w:tc>
          <w:p>
            <w:pPr>
              <w:pStyle w:val="Compact"/>
              <w:jc w:val="left"/>
            </w:pPr>
            <w:r>
              <w:t xml:space="preserve">37.2</w:t>
            </w:r>
          </w:p>
        </w:tc>
        <w:tc>
          <w:p>
            <w:pPr>
              <w:pStyle w:val="Compact"/>
              <w:jc w:val="left"/>
            </w:pPr>
            <w:r>
              <w:t xml:space="preserve">59.6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34.7</w:t>
            </w:r>
          </w:p>
        </w:tc>
        <w:tc>
          <w:p>
            <w:pPr>
              <w:pStyle w:val="Compact"/>
              <w:jc w:val="left"/>
            </w:pPr>
            <w:r>
              <w:t xml:space="preserve">±14.6</w:t>
            </w:r>
          </w:p>
        </w:tc>
        <w:tc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p>
            <w:pPr>
              <w:pStyle w:val="Compact"/>
              <w:jc w:val="left"/>
            </w:pPr>
            <w:r>
              <w:t xml:space="preserve">50.5</w:t>
            </w:r>
          </w:p>
        </w:tc>
      </w:tr>
    </w:tbl>
    <w:p>
      <w:pPr>
        <w:pStyle w:val="Heading2"/>
      </w:pPr>
      <w:bookmarkStart w:id="47" w:name="сравнение-с-аналитикой"/>
      <w:r>
        <w:t xml:space="preserve">Сравнение с аналитикой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Симуляция (ч)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Аналитика (ч)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Отклонение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34.7</w:t>
            </w:r>
          </w:p>
        </w:tc>
        <w:tc>
          <w:p>
            <w:pPr>
              <w:pStyle w:val="Compact"/>
              <w:jc w:val="left"/>
            </w:pPr>
            <w:r>
              <w:t xml:space="preserve">33.3</w:t>
            </w:r>
          </w:p>
        </w:tc>
        <w:tc>
          <w:p>
            <w:pPr>
              <w:pStyle w:val="Compact"/>
              <w:jc w:val="left"/>
            </w:pPr>
            <w:r>
              <w:t xml:space="preserve">+4.2%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44.9</w:t>
            </w:r>
          </w:p>
        </w:tc>
        <w:tc>
          <w:p>
            <w:pPr>
              <w:pStyle w:val="Compact"/>
              <w:jc w:val="left"/>
            </w:pPr>
            <w:r>
              <w:t xml:space="preserve">44.4</w:t>
            </w:r>
          </w:p>
        </w:tc>
        <w:tc>
          <w:p>
            <w:pPr>
              <w:pStyle w:val="Compact"/>
              <w:jc w:val="left"/>
            </w:pPr>
            <w:r>
              <w:t xml:space="preserve">+1.0%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34.7</w:t>
            </w:r>
          </w:p>
        </w:tc>
        <w:tc>
          <w:p>
            <w:pPr>
              <w:pStyle w:val="Compact"/>
              <w:jc w:val="left"/>
            </w:pPr>
            <w:r>
              <w:t xml:space="preserve">31.5</w:t>
            </w:r>
          </w:p>
        </w:tc>
        <w:tc>
          <w:p>
            <w:pPr>
              <w:pStyle w:val="Compact"/>
              <w:jc w:val="left"/>
            </w:pPr>
            <w:r>
              <w:t xml:space="preserve">+10.2%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44.9</w:t>
            </w:r>
          </w:p>
        </w:tc>
        <w:tc>
          <w:p>
            <w:pPr>
              <w:pStyle w:val="Compact"/>
              <w:jc w:val="left"/>
            </w:pPr>
            <w:r>
              <w:t xml:space="preserve">42.0</w:t>
            </w:r>
          </w:p>
        </w:tc>
        <w:tc>
          <w:p>
            <w:pPr>
              <w:pStyle w:val="Compact"/>
              <w:jc w:val="left"/>
            </w:pPr>
            <w:r>
              <w:t xml:space="preserve">+6.9%</w:t>
            </w:r>
          </w:p>
        </w:tc>
      </w:tr>
    </w:tbl>
    <w:p>
      <w:pPr>
        <w:pStyle w:val="Heading2"/>
      </w:pPr>
      <w:bookmarkStart w:id="48" w:name="анализ-результатов-1"/>
      <w:r>
        <w:t xml:space="preserve">Анализ результатов</w:t>
      </w:r>
      <w:bookmarkEnd w:id="48"/>
    </w:p>
    <w:p>
      <w:pPr>
        <w:pStyle w:val="FirstParagraph"/>
      </w:pPr>
      <w:r>
        <w:t xml:space="preserve">Для модели Росса:</w:t>
      </w:r>
    </w:p>
    <w:p>
      <w:pPr>
        <w:numPr>
          <w:ilvl w:val="0"/>
          <w:numId w:val="1006"/>
        </w:numPr>
        <w:pStyle w:val="Compact"/>
      </w:pPr>
      <w:r>
        <w:t xml:space="preserve">Реализована система с возможностью задавать количество работающих машин N, резервных машин S и ремонтников R.</w:t>
      </w:r>
    </w:p>
    <w:p>
      <w:pPr>
        <w:numPr>
          <w:ilvl w:val="0"/>
          <w:numId w:val="1006"/>
        </w:numPr>
        <w:pStyle w:val="Compact"/>
      </w:pPr>
      <w:r>
        <w:t xml:space="preserve">Проведены эксперименты для различных комбинаций (N=5,10; S=2,3; R=1,2).</w:t>
      </w:r>
    </w:p>
    <w:p>
      <w:pPr>
        <w:numPr>
          <w:ilvl w:val="0"/>
          <w:numId w:val="1006"/>
        </w:numPr>
        <w:pStyle w:val="Compact"/>
      </w:pPr>
      <w:r>
        <w:t xml:space="preserve">Наблюдаемые закономерности:</w:t>
      </w:r>
    </w:p>
    <w:p>
      <w:pPr>
        <w:numPr>
          <w:ilvl w:val="0"/>
          <w:numId w:val="1006"/>
        </w:numPr>
        <w:pStyle w:val="Compact"/>
      </w:pPr>
      <w:r>
        <w:t xml:space="preserve">Увеличение числа резервных машин S повышает время до падения системы</w:t>
      </w:r>
    </w:p>
    <w:p>
      <w:pPr>
        <w:numPr>
          <w:ilvl w:val="0"/>
          <w:numId w:val="1006"/>
        </w:numPr>
        <w:pStyle w:val="Compact"/>
      </w:pPr>
      <w:r>
        <w:t xml:space="preserve">Увеличение числа ремонтников R также повышает надежность</w:t>
      </w:r>
    </w:p>
    <w:p>
      <w:pPr>
        <w:numPr>
          <w:ilvl w:val="0"/>
          <w:numId w:val="1006"/>
        </w:numPr>
        <w:pStyle w:val="Compact"/>
      </w:pPr>
      <w:r>
        <w:t xml:space="preserve">Рост числа работающих машин N снижает время до падения</w:t>
      </w:r>
    </w:p>
    <w:p>
      <w:pPr>
        <w:numPr>
          <w:ilvl w:val="0"/>
          <w:numId w:val="1006"/>
        </w:numPr>
        <w:pStyle w:val="Compact"/>
      </w:pPr>
      <w:r>
        <w:t xml:space="preserve">Результаты симуляции близки к аналитическим (отклонение 1-10%)</w:t>
      </w:r>
    </w:p>
    <w:p>
      <w:pPr>
        <w:pStyle w:val="Heading1"/>
      </w:pPr>
      <w:bookmarkStart w:id="49" w:name="литературное-программирование"/>
      <w:r>
        <w:t xml:space="preserve">Литературное программирование</w:t>
      </w:r>
      <w:bookmarkEnd w:id="49"/>
    </w:p>
    <w:p>
      <w:pPr>
        <w:pStyle w:val="FirstParagraph"/>
      </w:pPr>
      <w:r>
        <w:t xml:space="preserve">С помощью скрипта tanglr.jl сгенерированы:</w:t>
      </w:r>
      <w:r>
        <w:t xml:space="preserve"> </w:t>
      </w:r>
      <w:r>
        <w:t xml:space="preserve">- Чистый код в scripts/clean/</w:t>
      </w:r>
      <w:r>
        <w:t xml:space="preserve"> </w:t>
      </w:r>
      <w:r>
        <w:t xml:space="preserve">- Jupyter Notebook в notebooks/</w:t>
      </w:r>
      <w:r>
        <w:t xml:space="preserve"> </w:t>
      </w:r>
      <w:r>
        <w:t xml:space="preserve">- Quarto документация в markdown/</w:t>
      </w:r>
    </w:p>
    <w:p>
      <w:pPr>
        <w:pStyle w:val="Heading1"/>
      </w:pPr>
      <w:bookmarkStart w:id="50" w:name="вывод"/>
      <w:r>
        <w:t xml:space="preserve">Вывод</w:t>
      </w:r>
      <w:bookmarkEnd w:id="50"/>
    </w:p>
    <w:p>
      <w:pPr>
        <w:pStyle w:val="FirstParagraph"/>
      </w:pPr>
      <w:r>
        <w:t xml:space="preserve">В ходе работы были успешно реализованы две модели СМО на Julia с использованием пакета ConcurrentSim.</w:t>
      </w:r>
    </w:p>
    <w:p>
      <w:pPr>
        <w:numPr>
          <w:ilvl w:val="0"/>
          <w:numId w:val="1007"/>
        </w:numPr>
      </w:pPr>
      <w:r>
        <w:t xml:space="preserve">Для модели М/М/с (λ=0.9, μ=0.5, c=2):</w:t>
      </w:r>
    </w:p>
    <w:p>
      <w:pPr>
        <w:numPr>
          <w:ilvl w:val="0"/>
          <w:numId w:val="1007"/>
        </w:numPr>
      </w:pPr>
      <w:r>
        <w:t xml:space="preserve">Загрузка системы ρ = 0.9</w:t>
      </w:r>
    </w:p>
    <w:p>
      <w:pPr>
        <w:numPr>
          <w:ilvl w:val="0"/>
          <w:numId w:val="1007"/>
        </w:numPr>
      </w:pPr>
      <w:r>
        <w:t xml:space="preserve">Вероятность ожидания Pwait = 85.26%</w:t>
      </w:r>
    </w:p>
    <w:p>
      <w:pPr>
        <w:numPr>
          <w:ilvl w:val="0"/>
          <w:numId w:val="1007"/>
        </w:numPr>
      </w:pPr>
      <w:r>
        <w:t xml:space="preserve">Среднее время ожидания в очереди Wq = 8.526 часов</w:t>
      </w:r>
    </w:p>
    <w:p>
      <w:pPr>
        <w:numPr>
          <w:ilvl w:val="0"/>
          <w:numId w:val="1007"/>
        </w:numPr>
      </w:pPr>
      <w:r>
        <w:t xml:space="preserve">Для модели Росса:</w:t>
      </w:r>
    </w:p>
    <w:p>
      <w:pPr>
        <w:numPr>
          <w:ilvl w:val="0"/>
          <w:numId w:val="1007"/>
        </w:numPr>
      </w:pPr>
      <w:r>
        <w:t xml:space="preserve">При N=10, S=3, R=2 среднее время до падения составило 34.7 часов</w:t>
      </w:r>
    </w:p>
    <w:p>
      <w:pPr>
        <w:numPr>
          <w:ilvl w:val="0"/>
          <w:numId w:val="1007"/>
        </w:numPr>
      </w:pPr>
      <w:r>
        <w:t xml:space="preserve">Отклонение результатов симуляции от аналитических формул составляет 1-10%</w:t>
      </w:r>
    </w:p>
    <w:p>
      <w:pPr>
        <w:numPr>
          <w:ilvl w:val="0"/>
          <w:numId w:val="1007"/>
        </w:numPr>
      </w:pPr>
      <w:r>
        <w:t xml:space="preserve">Увеличение резерва (S) и числа ремонтников (R) повышает надёжность системы</w:t>
      </w:r>
    </w:p>
    <w:p>
      <w:pPr>
        <w:numPr>
          <w:ilvl w:val="0"/>
          <w:numId w:val="1007"/>
        </w:numPr>
      </w:pPr>
      <w:r>
        <w:t xml:space="preserve">Увеличение числа работающих машин (N) снижает время до падения</w:t>
      </w:r>
    </w:p>
    <w:p>
      <w:pPr>
        <w:pStyle w:val="FirstParagraph"/>
      </w:pPr>
      <w:r>
        <w:t xml:space="preserve">Таким образом, дискретно-событийное моделирование является эффективным инструментом для анализа сложных систем массового обслуживания, а полученные результаты подтверждают корректность реализации моделей.</w:t>
      </w:r>
    </w:p>
    <w:p>
      <w:pPr>
        <w:pStyle w:val="Heading1"/>
      </w:pPr>
      <w:bookmarkStart w:id="51" w:name="список-литературы"/>
      <w:r>
        <w:t xml:space="preserve">Список литературы</w:t>
      </w:r>
      <w:bookmarkEnd w:id="51"/>
    </w:p>
    <w:p>
      <w:pPr>
        <w:numPr>
          <w:ilvl w:val="0"/>
          <w:numId w:val="1008"/>
        </w:numPr>
        <w:pStyle w:val="Compact"/>
      </w:pPr>
      <w:hyperlink r:id="rId52">
        <w:r>
          <w:rPr>
            <w:rStyle w:val="Hyperlink"/>
          </w:rPr>
          <w:t xml:space="preserve">Лабораторная №7</w:t>
        </w:r>
      </w:hyperlink>
    </w:p>
    <w:bookmarkStart w:id="53" w:name="refs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hyperlink" Id="rId52" Target="https://esystem.rudn.ru/pluginfile.php/3094247/mod_resource/content/3/simulation-modeling-lab.pdf#chapter.7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2" Target="https://esystem.rudn.ru/pluginfile.php/3094247/mod_resource/content/3/simulation-modeling-lab.pdf#chapter.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Еремина Оксана Андреевна</dc:creator>
  <cp:keywords/>
  <dcterms:created xsi:type="dcterms:W3CDTF">2026-05-16T15:20:23Z</dcterms:created>
  <dcterms:modified xsi:type="dcterms:W3CDTF">2026-05-16T15:20:23Z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2026-05-16</vt:lpwstr>
  </property>
  <property fmtid="{D5CDD505-2E9C-101B-9397-08002B2CF9AE}" pid="3" name="license">
    <vt:lpwstr>CC BY</vt:lpwstr>
  </property>
  <property fmtid="{D5CDD505-2E9C-101B-9397-08002B2CF9AE}" pid="4" name="subtitle">
    <vt:lpwstr>Дискретно-событийное моделирование</vt:lpwstr>
  </property>
</Properties>
</file>