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Еремина Оксана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моделирование эпидемии SIR с помощью сетей Петри в Julia, реализовать детерминированный и стохастический подходы, провести анализ чувствительности модели, а также преобразовать код в литературный стиль с генерацией исполняемых файлов (Jupyter Notebook, Quarto).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с использованием размеченной сети Петри.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расчёт (детерминированный и стохастический) с параметрами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Провести сканирование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</w:t>
      </w:r>
      <m:oMath>
        <m:r>
          <m:t>0.1</m:t>
        </m:r>
        <m:r>
          <m:rPr>
            <m:sty m:val="p"/>
          </m:rPr>
          <m:t>:</m:t>
        </m:r>
        <m:r>
          <m:t>0.05</m:t>
        </m:r>
        <m:r>
          <m:rPr>
            <m:sty m:val="p"/>
          </m:rPr>
          <m:t>:</m:t>
        </m:r>
        <m:r>
          <m:t>0.8</m:t>
        </m:r>
      </m:oMath>
      <w:r>
        <w:t xml:space="preserve">) и построить графики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peak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final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анимацию динамики S, I, R.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сгенерировать:</w:t>
      </w:r>
    </w:p>
    <w:p>
      <w:pPr>
        <w:pStyle w:val="Compact"/>
        <w:numPr>
          <w:ilvl w:val="1"/>
          <w:numId w:val="1002"/>
        </w:numPr>
      </w:pPr>
      <w:r>
        <w:t xml:space="preserve">чистый код (</w:t>
      </w:r>
      <w:r>
        <w:rPr>
          <w:rStyle w:val="VerbatimChar"/>
        </w:rPr>
        <w:t xml:space="preserve">.jl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Jupyter Notebook (</w:t>
      </w:r>
      <w:r>
        <w:rPr>
          <w:rStyle w:val="VerbatimChar"/>
        </w:rPr>
        <w:t xml:space="preserve">.ipynb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документацию Quarto (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расчёты для дополнительного набора параметров (например,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0.05</m:t>
        </m:r>
      </m:oMath>
      <w:r>
        <w:t xml:space="preserve">) и включить результаты в отчёт.</w:t>
      </w:r>
    </w:p>
    <w:p>
      <w:pPr>
        <w:pStyle w:val="FirstParagraph"/>
      </w:pPr>
      <w:r>
        <w:t xml:space="preserve">Ниже приведён структурированный текст для отчёта по лабораторной работе на основе предоставленного файла</w:t>
      </w:r>
      <w:r>
        <w:t xml:space="preserve"> </w:t>
      </w:r>
      <w:r>
        <w:rPr>
          <w:rStyle w:val="VerbatimChar"/>
        </w:rPr>
        <w:t xml:space="preserve">lab06.pdf</w:t>
      </w:r>
      <w:r>
        <w:t xml:space="preserve">. Текст включает</w:t>
      </w:r>
      <w:r>
        <w:t xml:space="preserve"> </w:t>
      </w:r>
      <w:r>
        <w:rPr>
          <w:b/>
          <w:bCs/>
        </w:rPr>
        <w:t xml:space="preserve">цель</w:t>
      </w:r>
      <w:r>
        <w:t xml:space="preserve">,</w:t>
      </w:r>
      <w:r>
        <w:t xml:space="preserve"> </w:t>
      </w:r>
      <w:r>
        <w:rPr>
          <w:b/>
          <w:bCs/>
        </w:rPr>
        <w:t xml:space="preserve">задание</w:t>
      </w:r>
      <w:r>
        <w:t xml:space="preserve"> </w:t>
      </w:r>
      <w:r>
        <w:t xml:space="preserve">(адаптированное и дополненное для ясности) и</w:t>
      </w:r>
      <w:r>
        <w:t xml:space="preserve"> </w:t>
      </w:r>
      <w:r>
        <w:rPr>
          <w:b/>
          <w:bCs/>
        </w:rPr>
        <w:t xml:space="preserve">теоретическое введение</w:t>
      </w:r>
      <w:r>
        <w:t xml:space="preserve"> </w:t>
      </w:r>
      <w:r>
        <w:t xml:space="preserve">(описание модели SIR и сетей Петри).</w:t>
      </w:r>
    </w:p>
    <w:bookmarkEnd w:id="10"/>
    <w:bookmarkStart w:id="1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3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является классической эпидемиологической моделью, описывающей распространение инфекционного заболевания в популяции. Вся популяция делится на три группы: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 (Susceptible)</w:t>
      </w:r>
      <w:r>
        <w:t xml:space="preserve"> </w:t>
      </w:r>
      <w:r>
        <w:t xml:space="preserve">– восприимчивые к инфекции особи, которые могут заразиться при контакте с инфицированными.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 (Infectious)</w:t>
      </w:r>
      <w:r>
        <w:t xml:space="preserve"> </w:t>
      </w:r>
      <w:r>
        <w:t xml:space="preserve">– инфицированные особи, способные передавать инфекцию восприимчивым и впоследствии выздоравливать.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 (Recovered)</w:t>
      </w:r>
      <w:r>
        <w:t xml:space="preserve"> </w:t>
      </w:r>
      <w:r>
        <w:t xml:space="preserve">– выздоровевшие особи, приобретающие иммунитет и не участвующие в дальнейшем распространении болезни.</w:t>
      </w:r>
    </w:p>
    <w:p>
      <w:pPr>
        <w:pStyle w:val="FirstParagraph"/>
      </w:pPr>
      <w:r>
        <w:t xml:space="preserve">Взаимодействия между группами описываются двумя процессами: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Заражение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t>β</m:t>
            </m:r>
          </m:lim>
        </m:limUpp>
        <m:r>
          <m:t>I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– при контакте восприимчивого с инфицированным первый переходит в группу I. Скорость процесса пропорциональна произведению</w:t>
      </w:r>
      <w:r>
        <w:t xml:space="preserve"> </w:t>
      </w:r>
      <m:oMath>
        <m:r>
          <m:t>S</m:t>
        </m:r>
        <m:r>
          <m:rPr>
            <m:sty m:val="p"/>
          </m:rPr>
          <m:t>⋅</m:t>
        </m:r>
        <m:r>
          <m:t>I</m:t>
        </m:r>
      </m:oMath>
      <w:r>
        <w:t xml:space="preserve"> </w:t>
      </w:r>
      <w:r>
        <w:t xml:space="preserve">(закон действующих масс) с коэффициентом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(эффективность заражения).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Выздоровление</w:t>
      </w:r>
      <w:r>
        <w:t xml:space="preserve">:</w:t>
      </w:r>
      <w:r>
        <w:t xml:space="preserve"> </w:t>
      </w:r>
      <m:oMath>
        <m:r>
          <m:t>I</m:t>
        </m:r>
        <m:limUpp>
          <m:e>
            <m:r>
              <m:rPr>
                <m:sty m:val="p"/>
              </m:rPr>
              <m:t>→</m:t>
            </m:r>
          </m:e>
          <m:lim>
            <m:r>
              <m:t>γ</m:t>
            </m:r>
          </m:lim>
        </m:limUpp>
        <m:r>
          <m:t>R</m:t>
        </m:r>
      </m:oMath>
      <w:r>
        <w:t xml:space="preserve"> </w:t>
      </w:r>
      <w:r>
        <w:t xml:space="preserve">– инфицированный переходит в группу R с постоянной скоростью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(обратная величина среднего времени болезни).</w:t>
      </w:r>
    </w:p>
    <w:bookmarkStart w:id="11" w:name="детерминированная-форма-оду"/>
    <w:p>
      <w:pPr>
        <w:pStyle w:val="Heading3"/>
      </w:pPr>
      <w:r>
        <w:t xml:space="preserve">3.1.1 Детерминированная форма (ОДУ)</w:t>
      </w:r>
    </w:p>
    <w:p>
      <w:pPr>
        <w:pStyle w:val="FirstParagraph"/>
      </w:pPr>
      <w:r>
        <w:t xml:space="preserve">В предположении бесконечно большой популяции динамика концентраций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S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bookmarkEnd w:id="11"/>
    <w:bookmarkStart w:id="12" w:name="стохастическая-форма"/>
    <w:p>
      <w:pPr>
        <w:pStyle w:val="Heading3"/>
      </w:pPr>
      <w:r>
        <w:t xml:space="preserve">3.1.2 Стохастическая форма</w:t>
      </w:r>
    </w:p>
    <w:p>
      <w:pPr>
        <w:pStyle w:val="FirstParagraph"/>
      </w:pPr>
      <w:r>
        <w:t xml:space="preserve">При малой численности популяции существенны случайные флуктуации. Стохастическое моделирование использует</w:t>
      </w:r>
      <w:r>
        <w:t xml:space="preserve"> </w:t>
      </w:r>
      <w:r>
        <w:rPr>
          <w:b/>
          <w:bCs/>
        </w:rPr>
        <w:t xml:space="preserve">прямой метод Гиллеспи</w:t>
      </w:r>
      <w:r>
        <w:t xml:space="preserve"> </w:t>
      </w:r>
      <w:r>
        <w:t xml:space="preserve">(SSA – Stochastic Simulation Algorithm). На каждом шаге:</w:t>
      </w:r>
    </w:p>
    <w:p>
      <w:pPr>
        <w:pStyle w:val="Compact"/>
        <w:numPr>
          <w:ilvl w:val="0"/>
          <w:numId w:val="1005"/>
        </w:numPr>
      </w:pPr>
      <w:r>
        <w:t xml:space="preserve">Вычисляются пропускные способности (hazard functions):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=</m:t>
        </m:r>
        <m:r>
          <m:t>β</m:t>
        </m:r>
        <m:r>
          <m:t>S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rec</m:t>
            </m:r>
          </m:sub>
        </m:sSub>
        <m:r>
          <m:rPr>
            <m:sty m:val="p"/>
          </m:rPr>
          <m:t>=</m:t>
        </m:r>
        <m:r>
          <m:t>γ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Генерируется время до следующего события: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rec</m:t>
            </m:r>
          </m:sub>
        </m:sSub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С вероятностью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inf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rPr>
                <m:nor/>
                <m:sty m:val="p"/>
              </m:rPr>
              <m:t>rec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происходит заражение, иначе – выздоровление.</w:t>
      </w:r>
    </w:p>
    <w:p>
      <w:pPr>
        <w:pStyle w:val="Compact"/>
        <w:numPr>
          <w:ilvl w:val="0"/>
          <w:numId w:val="1005"/>
        </w:numPr>
      </w:pPr>
      <w:r>
        <w:t xml:space="preserve">Состояние обновляется дискретно, и процесс повторяется.</w:t>
      </w:r>
    </w:p>
    <w:bookmarkEnd w:id="12"/>
    <w:bookmarkEnd w:id="13"/>
    <w:bookmarkStart w:id="14" w:name="сети-петри"/>
    <w:p>
      <w:pPr>
        <w:pStyle w:val="Heading2"/>
      </w:pPr>
      <w:r>
        <w:t xml:space="preserve">3.2 Сети Петри</w:t>
      </w:r>
    </w:p>
    <w:p>
      <w:pPr>
        <w:pStyle w:val="FirstParagraph"/>
      </w:pPr>
      <w:r>
        <w:rPr>
          <w:b/>
          <w:bCs/>
        </w:rPr>
        <w:t xml:space="preserve">Сеть Петри</w:t>
      </w:r>
      <w:r>
        <w:t xml:space="preserve"> </w:t>
      </w:r>
      <w:r>
        <w:t xml:space="preserve">– это графовая модель параллельных и асинхронных систем, состоящая из: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Позиций (places)</w:t>
      </w:r>
      <w:r>
        <w:t xml:space="preserve"> </w:t>
      </w:r>
      <w:r>
        <w:t xml:space="preserve">– круги, представляющие состояния (в модели SIR: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t>R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Переходов (transitions)</w:t>
      </w:r>
      <w:r>
        <w:t xml:space="preserve"> </w:t>
      </w:r>
      <w:r>
        <w:t xml:space="preserve">– прямоугольники, представляющие события (infection, recovery).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Дуг (arcs)</w:t>
      </w:r>
      <w:r>
        <w:t xml:space="preserve"> </w:t>
      </w:r>
      <w:r>
        <w:t xml:space="preserve">– связи от позиций к переходам и обратно, указывающие, сколько фишек изымается или помещается.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Фишек (tokens)</w:t>
      </w:r>
      <w:r>
        <w:t xml:space="preserve"> </w:t>
      </w:r>
      <w:r>
        <w:t xml:space="preserve">– дискретные единицы, распределённые по позициям.</w:t>
      </w:r>
    </w:p>
    <w:p>
      <w:pPr>
        <w:pStyle w:val="FirstParagraph"/>
      </w:pPr>
      <w:r>
        <w:t xml:space="preserve">В данной работе используется</w:t>
      </w:r>
      <w:r>
        <w:t xml:space="preserve"> </w:t>
      </w:r>
      <w:r>
        <w:rPr>
          <w:b/>
          <w:bCs/>
        </w:rPr>
        <w:t xml:space="preserve">размеченная сеть Петри (Labelled Petri Net)</w:t>
      </w:r>
      <w:r>
        <w:t xml:space="preserve">, где переходы имеют метки и связаны с динамическими законами. На основе такой сети автоматически строится система ОДУ (через закон действующих масс) или запускается алгоритм Гиллеспи. Это позволяет унифицировать описание модели для детерминированного и стохастического режимов.</w:t>
      </w:r>
    </w:p>
    <w:bookmarkEnd w:id="14"/>
    <w:bookmarkStart w:id="15" w:name="используемые-численные-методы"/>
    <w:p>
      <w:pPr>
        <w:pStyle w:val="Heading2"/>
      </w:pPr>
      <w:r>
        <w:t xml:space="preserve">3.3 Используемые численные методы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Tsit5</w:t>
      </w:r>
      <w:r>
        <w:t xml:space="preserve"> </w:t>
      </w:r>
      <w:r>
        <w:t xml:space="preserve">– метод Рунге-Кутты 5-го порядка (реализация из пакета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) для детерминированного интегрирования.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Прямой метод Гиллеспи</w:t>
      </w:r>
      <w:r>
        <w:t xml:space="preserve"> </w:t>
      </w:r>
      <w:r>
        <w:t xml:space="preserve">(Gillespie SSA) – точный алгоритм для стохастического моделирования химических и биологических реакций.</w:t>
      </w:r>
    </w:p>
    <w:p>
      <w:pPr>
        <w:pStyle w:val="FirstParagraph"/>
      </w:pPr>
      <w:r>
        <w:t xml:space="preserve">Такой подход демонстрирует переход от макроскопической (гладкой) динамики к микроскопической (флуктуирующей) при уменьшении масштаба системы, что особенно важно для понимания поведения эпидемий в малых популяциях.</w:t>
      </w:r>
    </w:p>
    <w:bookmarkEnd w:id="15"/>
    <w:bookmarkEnd w:id="16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>
      <w:pPr>
        <w:pStyle w:val="BodyText"/>
      </w:pPr>
      <w:r>
        <w:t xml:space="preserve">Запустила их всех, сначала пробежав</w:t>
      </w:r>
      <w:r>
        <w:t xml:space="preserve"> </w:t>
      </w:r>
      <w:r>
        <w:rPr>
          <w:rStyle w:val="VerbatimChar"/>
        </w:rPr>
        <w:t xml:space="preserve">install_packages.jl</w:t>
      </w:r>
      <w:r>
        <w:t xml:space="preserve">, установив необходимые библиотеки</w:t>
      </w:r>
    </w:p>
    <w:p>
      <w:pPr>
        <w:pStyle w:val="BodyText"/>
      </w:pPr>
      <w:r>
        <w:t xml:space="preserve">Далее создала литературный код для всех основных файлов. После скомпилировала чистый код, jupiter notebook и quarto с помощью файла с кодом</w:t>
      </w:r>
      <w:r>
        <w:t xml:space="preserve"> </w:t>
      </w:r>
      <w:r>
        <w:rPr>
          <w:rStyle w:val="VerbatimChar"/>
        </w:rPr>
        <w:t xml:space="preserve">tangle.jl</w:t>
      </w:r>
    </w:p>
    <w:p>
      <w:pPr>
        <w:pStyle w:val="BodyText"/>
      </w:pPr>
      <w:r>
        <w:t xml:space="preserve">Кад из файлов и анализ результатов предоставлен ниже.</w:t>
      </w:r>
    </w:p>
    <w:bookmarkStart w:id="24" w:name="базовый-прогон-модели-sir"/>
    <w:p>
      <w:pPr>
        <w:pStyle w:val="Heading2"/>
      </w:pPr>
      <w:r>
        <w:t xml:space="preserve">4.1 Базовый прогон модели SIR</w:t>
      </w:r>
    </w:p>
    <w:bookmarkStart w:id="17" w:name="подготовка-окружения"/>
    <w:p>
      <w:pPr>
        <w:pStyle w:val="Heading3"/>
      </w:pPr>
      <w:r>
        <w:t xml:space="preserve">4.1.1 Подготовка окружения</w:t>
      </w:r>
    </w:p>
    <w:p>
      <w:pPr>
        <w:pStyle w:val="FirstParagraph"/>
      </w:pPr>
      <w:r>
        <w:t xml:space="preserve">Подключаем необходимые пакеты для работы с моделью SIR.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17"/>
    <w:bookmarkStart w:id="18" w:name="параметры-модели"/>
    <w:p>
      <w:pPr>
        <w:pStyle w:val="Heading3"/>
      </w:pPr>
      <w:r>
        <w:t xml:space="preserve">4.1.2 Параметры модели</w:t>
      </w:r>
    </w:p>
    <w:p>
      <w:pPr>
        <w:pStyle w:val="FirstParagraph"/>
      </w:pPr>
      <w:r>
        <w:t xml:space="preserve">Задаём основные параметры эпидемии: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$/beta$</w:t>
      </w:r>
      <w:r>
        <w:t xml:space="preserve"> </w:t>
      </w:r>
      <w:r>
        <w:t xml:space="preserve">(бета) — коэффициент заражения (скорость перехода S -&gt; I)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$/gamma$</w:t>
      </w:r>
      <w:r>
        <w:t xml:space="preserve"> </w:t>
      </w:r>
      <w:r>
        <w:t xml:space="preserve">(гамма) — коэффициент выздоровления (скорость перехода I -&gt; 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tmax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18"/>
    <w:bookmarkStart w:id="19" w:name="создание-сети-петри"/>
    <w:p>
      <w:pPr>
        <w:pStyle w:val="Heading3"/>
      </w:pPr>
      <w:r>
        <w:t xml:space="preserve">4.1.3 Создание сети Петри</w:t>
      </w:r>
    </w:p>
    <w:p>
      <w:pPr>
        <w:pStyle w:val="FirstParagraph"/>
      </w:pPr>
      <w:r>
        <w:t xml:space="preserve">Строим размеченную сеть Петри для модели SIR.</w:t>
      </w:r>
      <w:r>
        <w:t xml:space="preserve"> </w:t>
      </w:r>
      <w:r>
        <w:t xml:space="preserve">Начальная маркировка: 990 восприимчивых, 10 инфицированных, 0 выздоровевших.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bookmarkEnd w:id="19"/>
    <w:bookmarkStart w:id="20" w:name="детерминированная-симуляция"/>
    <w:p>
      <w:pPr>
        <w:pStyle w:val="Heading3"/>
      </w:pPr>
      <w:r>
        <w:t xml:space="preserve">4.1.4 Детерминированная симуляция</w:t>
      </w:r>
    </w:p>
    <w:p>
      <w:pPr>
        <w:pStyle w:val="FirstParagraph"/>
      </w:pPr>
      <w:r>
        <w:t xml:space="preserve">Запускаем детерминированную симуляцию (решение системы ОДУ).</w:t>
      </w:r>
      <w:r>
        <w:t xml:space="preserve"> </w:t>
      </w:r>
      <w:r>
        <w:t xml:space="preserve">Результаты сохраняются в CSV-файл.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bookmarkEnd w:id="20"/>
    <w:bookmarkStart w:id="21" w:name="стохастическая-симуляция"/>
    <w:p>
      <w:pPr>
        <w:pStyle w:val="Heading3"/>
      </w:pPr>
      <w:r>
        <w:t xml:space="preserve">4.1.5 Стохастическая симуляция</w:t>
      </w:r>
    </w:p>
    <w:p>
      <w:pPr>
        <w:pStyle w:val="FirstParagraph"/>
      </w:pPr>
      <w:r>
        <w:t xml:space="preserve">Запускаем стохастическую симуляцию (алгоритм Гиллеспи).</w:t>
      </w:r>
      <w:r>
        <w:t xml:space="preserve"> </w:t>
      </w:r>
      <w:r>
        <w:t xml:space="preserve">Устанавливаем seed для воспроизводимости результатов.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bookmarkEnd w:id="21"/>
    <w:bookmarkStart w:id="22" w:name="визуализация-результатов"/>
    <w:p>
      <w:pPr>
        <w:pStyle w:val="Heading3"/>
      </w:pPr>
      <w:r>
        <w:t xml:space="preserve">4.1.6 Визуализация результатов</w:t>
      </w:r>
    </w:p>
    <w:p>
      <w:pPr>
        <w:pStyle w:val="FirstParagraph"/>
      </w:pPr>
      <w:r>
        <w:t xml:space="preserve">Строим графики динамики S, I, R для обоих типов симуляции.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bookmarkEnd w:id="22"/>
    <w:bookmarkStart w:id="23" w:name="завершение"/>
    <w:p>
      <w:pPr>
        <w:pStyle w:val="Heading3"/>
      </w:pPr>
      <w:r>
        <w:t xml:space="preserve">4.1.7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bookmarkEnd w:id="23"/>
    <w:bookmarkEnd w:id="24"/>
    <w:bookmarkStart w:id="31" w:name="сканирование-параметра-β-в-модели-sir"/>
    <w:p>
      <w:pPr>
        <w:pStyle w:val="Heading2"/>
      </w:pPr>
      <w:r>
        <w:t xml:space="preserve">4.2 Сканирование параметра β в модели SIR</w:t>
      </w:r>
    </w:p>
    <w:bookmarkStart w:id="25" w:name="подготовка-окружения-1"/>
    <w:p>
      <w:pPr>
        <w:pStyle w:val="Heading3"/>
      </w:pPr>
      <w:r>
        <w:t xml:space="preserve">4.2.1 Подготовка окружения</w:t>
      </w:r>
    </w:p>
    <w:p>
      <w:pPr>
        <w:pStyle w:val="FirstParagraph"/>
      </w:pPr>
      <w:r>
        <w:t xml:space="preserve">Подключаем необходимые пакеты и модули.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25"/>
    <w:bookmarkStart w:id="26" w:name="параметры-сканирования"/>
    <w:p>
      <w:pPr>
        <w:pStyle w:val="Heading3"/>
      </w:pPr>
      <w:r>
        <w:t xml:space="preserve">4.2.2 Параметры сканирования</w:t>
      </w:r>
    </w:p>
    <w:p>
      <w:pPr>
        <w:pStyle w:val="FirstParagraph"/>
      </w:pPr>
      <w:r>
        <w:t xml:space="preserve">Задаём диапазон значений коэффициента заражения β и фиксированные параметры.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β_range</w:t>
      </w:r>
      <w:r>
        <w:t xml:space="preserve"> </w:t>
      </w:r>
      <w:r>
        <w:t xml:space="preserve">— диапазон значений β от 0.1 до 0.8 с шагом 0.05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γ_fixed</w:t>
      </w:r>
      <w:r>
        <w:t xml:space="preserve"> </w:t>
      </w:r>
      <w:r>
        <w:t xml:space="preserve">— фиксированный коэффициент выздоровления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tmax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26"/>
    <w:bookmarkStart w:id="27" w:name="цикл-сканирования"/>
    <w:p>
      <w:pPr>
        <w:pStyle w:val="Heading3"/>
      </w:pPr>
      <w:r>
        <w:t xml:space="preserve">4.2.3 Цикл сканирования</w:t>
      </w:r>
    </w:p>
    <w:p>
      <w:pPr>
        <w:pStyle w:val="FirstParagraph"/>
      </w:pPr>
      <w:r>
        <w:t xml:space="preserve">Для каждого значения β запускаем детерминированную симуляцию</w:t>
      </w:r>
      <w:r>
        <w:t xml:space="preserve"> </w:t>
      </w:r>
      <w:r>
        <w:t xml:space="preserve">и записываем: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— максимальное число инфицированных (пик эпидемии)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— конечное число выздоровевших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</w:p>
    <w:bookmarkEnd w:id="27"/>
    <w:bookmarkStart w:id="28" w:name="сохранение-результатов"/>
    <w:p>
      <w:pPr>
        <w:pStyle w:val="Heading3"/>
      </w:pPr>
      <w:r>
        <w:t xml:space="preserve">4.2.4 Сохранение результатов</w:t>
      </w:r>
    </w:p>
    <w:p>
      <w:pPr>
        <w:pStyle w:val="FirstParagraph"/>
      </w:pPr>
      <w:r>
        <w:t xml:space="preserve">Преобразуем результаты в DataFrame и сохраняем в CSV-файл.</w:t>
      </w:r>
    </w:p>
    <w:p>
      <w:pPr>
        <w:pStyle w:val="SourceCode"/>
      </w:pP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bookmarkEnd w:id="28"/>
    <w:bookmarkStart w:id="29" w:name="визуализация"/>
    <w:p>
      <w:pPr>
        <w:pStyle w:val="Heading3"/>
      </w:pPr>
      <w:r>
        <w:t xml:space="preserve">4.2.5 Визуализация</w:t>
      </w:r>
    </w:p>
    <w:p>
      <w:pPr>
        <w:pStyle w:val="FirstParagraph"/>
      </w:pPr>
      <w:r>
        <w:t xml:space="preserve">Строим график зависимости пика эпидемии (Peak I) и конечного числа</w:t>
      </w:r>
      <w:r>
        <w:t xml:space="preserve"> </w:t>
      </w:r>
      <w:r>
        <w:t xml:space="preserve">выздоровевших (Final R) от коэффициента заражения β.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bookmarkEnd w:id="29"/>
    <w:bookmarkStart w:id="30" w:name="завершение-1"/>
    <w:p>
      <w:pPr>
        <w:pStyle w:val="Heading3"/>
      </w:pPr>
      <w:r>
        <w:t xml:space="preserve">4.2.6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bookmarkEnd w:id="30"/>
    <w:bookmarkEnd w:id="31"/>
    <w:bookmarkStart w:id="38" w:name="Xa80e8a5175a29153efdc7dd637e3126c74f08cf"/>
    <w:p>
      <w:pPr>
        <w:pStyle w:val="Heading2"/>
      </w:pPr>
      <w:r>
        <w:t xml:space="preserve">4.3 Анимация детерминированной динамики модели SIR</w:t>
      </w:r>
    </w:p>
    <w:bookmarkStart w:id="32" w:name="подготовка-окружения-2"/>
    <w:p>
      <w:pPr>
        <w:pStyle w:val="Heading3"/>
      </w:pPr>
      <w:r>
        <w:t xml:space="preserve">4.3.1 Подготовка окружения</w:t>
      </w:r>
    </w:p>
    <w:p>
      <w:pPr>
        <w:pStyle w:val="FirstParagraph"/>
      </w:pPr>
      <w:r>
        <w:t xml:space="preserve">Подключаем необходимые пакеты и модули.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32"/>
    <w:bookmarkStart w:id="33" w:name="параметры-модели-1"/>
    <w:p>
      <w:pPr>
        <w:pStyle w:val="Heading3"/>
      </w:pPr>
      <w:r>
        <w:t xml:space="preserve">4.3.2 Параметры модели</w:t>
      </w:r>
    </w:p>
    <w:p>
      <w:pPr>
        <w:pStyle w:val="FirstParagraph"/>
      </w:pPr>
      <w:r>
        <w:t xml:space="preserve">Задаём параметры для анимации: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β = 0.3</w:t>
      </w:r>
      <w:r>
        <w:t xml:space="preserve"> </w:t>
      </w:r>
      <w:r>
        <w:t xml:space="preserve">— коэффициент заражения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 </w:t>
      </w:r>
      <w:r>
        <w:t xml:space="preserve">— коэффициент выздоровления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tmax = 100.0</w:t>
      </w:r>
      <w:r>
        <w:t xml:space="preserve"> </w:t>
      </w:r>
      <w:r>
        <w:t xml:space="preserve">— максимальное время симуляции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bookmarkEnd w:id="33"/>
    <w:bookmarkStart w:id="34" w:name="запуск-симуляции"/>
    <w:p>
      <w:pPr>
        <w:pStyle w:val="Heading3"/>
      </w:pPr>
      <w:r>
        <w:t xml:space="preserve">4.3.3 Запуск симуляции</w:t>
      </w:r>
    </w:p>
    <w:p>
      <w:pPr>
        <w:pStyle w:val="FirstParagraph"/>
      </w:pPr>
      <w:r>
        <w:t xml:space="preserve">Создаём сеть Петри и запускаем детерминированную симуляцию</w:t>
      </w:r>
      <w:r>
        <w:t xml:space="preserve"> </w:t>
      </w:r>
      <w:r>
        <w:t xml:space="preserve">с шагом сохранения 0.5 для плавности анимации.</w:t>
      </w:r>
    </w:p>
    <w:p>
      <w:pPr>
        <w:pStyle w:val="SourceCode"/>
      </w:pP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</w:p>
    <w:bookmarkEnd w:id="34"/>
    <w:bookmarkStart w:id="35" w:name="создание-анимации"/>
    <w:p>
      <w:pPr>
        <w:pStyle w:val="Heading3"/>
      </w:pPr>
      <w:r>
        <w:t xml:space="preserve">4.3.4 Создание анимации</w:t>
      </w:r>
    </w:p>
    <w:p>
      <w:pPr>
        <w:pStyle w:val="FirstParagraph"/>
      </w:pPr>
      <w:r>
        <w:t xml:space="preserve">Создаём анимацию, где каждый кадр показывает столбчатую диаграмму</w:t>
      </w:r>
      <w:r>
        <w:t xml:space="preserve"> </w:t>
      </w:r>
      <w:r>
        <w:t xml:space="preserve">количества людей в каждой группе (S, I, R) в соответствующий момент времени.</w:t>
      </w:r>
      <w:r>
        <w:t xml:space="preserve"> </w:t>
      </w:r>
      <w:r>
        <w:t xml:space="preserve">Берём каждый 5-й кадр для оптимальной плавности.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Animation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(df.time)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[df.S[i], df.I[i], df.R[i]],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frame</w:t>
      </w:r>
      <w:r>
        <w:rPr>
          <w:rStyle w:val="NormalTok"/>
        </w:rPr>
        <w:t xml:space="preserve">(anim, p)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сохранение-анимации"/>
    <w:p>
      <w:pPr>
        <w:pStyle w:val="Heading3"/>
      </w:pPr>
      <w:r>
        <w:t xml:space="preserve">4.3.5 Сохранение анимации</w:t>
      </w:r>
    </w:p>
    <w:p>
      <w:pPr>
        <w:pStyle w:val="FirstParagraph"/>
      </w:pPr>
      <w:r>
        <w:t xml:space="preserve">Сохраняем анимацию в GIF-файл с частотой 5 кадров в секунду.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</w:p>
    <w:bookmarkEnd w:id="36"/>
    <w:bookmarkStart w:id="37" w:name="завершение-2"/>
    <w:p>
      <w:pPr>
        <w:pStyle w:val="Heading3"/>
      </w:pPr>
      <w:r>
        <w:t xml:space="preserve">4.3.6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bookmarkEnd w:id="37"/>
    <w:bookmarkEnd w:id="38"/>
    <w:bookmarkStart w:id="43" w:name="итоговый-отчёт-по-модели-sir"/>
    <w:p>
      <w:pPr>
        <w:pStyle w:val="Heading2"/>
      </w:pPr>
      <w:r>
        <w:t xml:space="preserve">4.4 Итоговый отчёт по модели SIR</w:t>
      </w:r>
    </w:p>
    <w:bookmarkStart w:id="39" w:name="загрузка-данных"/>
    <w:p>
      <w:pPr>
        <w:pStyle w:val="Heading3"/>
      </w:pPr>
      <w:r>
        <w:t xml:space="preserve">4.4.1 Загрузка данных</w:t>
      </w:r>
    </w:p>
    <w:p>
      <w:pPr>
        <w:pStyle w:val="FirstParagraph"/>
      </w:pPr>
      <w:r>
        <w:t xml:space="preserve">Загружаем ранее сохранённые результаты симуляций.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Загрузка данных из CSV-файлов: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— детерминированная симуляция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— стохастическая симуляция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— результаты сканирования параметра β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bookmarkEnd w:id="39"/>
    <w:bookmarkStart w:id="40" w:name="X04007f51d9c34542b320a52d50f31a544f51bfb"/>
    <w:p>
      <w:pPr>
        <w:pStyle w:val="Heading3"/>
      </w:pPr>
      <w:r>
        <w:t xml:space="preserve">4.4.2 Сравнение детерминированной и стохастической динамики</w:t>
      </w:r>
    </w:p>
    <w:p>
      <w:pPr>
        <w:pStyle w:val="FirstParagraph"/>
      </w:pPr>
      <w:r>
        <w:t xml:space="preserve">Строим сравнительный график числа инфицированных I(t)</w:t>
      </w:r>
      <w:r>
        <w:t xml:space="preserve"> </w:t>
      </w:r>
      <w:r>
        <w:t xml:space="preserve">для детерминированного и стохастического случаев.</w:t>
      </w:r>
    </w:p>
    <w:p>
      <w:pPr>
        <w:pStyle w:val="SourceCode"/>
      </w:pPr>
      <w:r>
        <w:rPr>
          <w:rStyle w:val="NormalTok"/>
        </w:rPr>
        <w:t xml:space="preserve">n_points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(df_stoch.time))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n_points],</w:t>
      </w:r>
      <w:r>
        <w:br/>
      </w:r>
      <w:r>
        <w:rPr>
          <w:rStyle w:val="NormalTok"/>
        </w:rPr>
        <w:t xml:space="preserve">    [df_det.I[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n_points]],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Deterministic and Stochastic Dynamics"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bookmarkEnd w:id="40"/>
    <w:bookmarkStart w:id="41" w:name="анализ-чувствительности-к-параметру-β"/>
    <w:p>
      <w:pPr>
        <w:pStyle w:val="Heading3"/>
      </w:pPr>
      <w:r>
        <w:t xml:space="preserve">4.4.3 Анализ чувствительности к параметру β</w:t>
      </w:r>
    </w:p>
    <w:p>
      <w:pPr>
        <w:pStyle w:val="FirstParagraph"/>
      </w:pPr>
      <w:r>
        <w:t xml:space="preserve">Строим график зависимости пика эпидемии (максимального числа инфицированных)</w:t>
      </w:r>
      <w:r>
        <w:t xml:space="preserve"> </w:t>
      </w:r>
      <w:r>
        <w:t xml:space="preserve">от коэффициента заражения β.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 Analysis: Peak I vs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bookmarkEnd w:id="41"/>
    <w:bookmarkStart w:id="42" w:name="завершение-3"/>
    <w:p>
      <w:pPr>
        <w:pStyle w:val="Heading3"/>
      </w:pPr>
      <w:r>
        <w:t xml:space="preserve">4.4.4 Завершение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bookmarkEnd w:id="42"/>
    <w:bookmarkEnd w:id="43"/>
    <w:bookmarkEnd w:id="44"/>
    <w:bookmarkStart w:id="45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Реализована модель SIR с использованием сетей Петри в детерминированном и стохастическом вариантах. Проведён анализ чувствительности к параметру</w:t>
      </w:r>
      <w:r>
        <w:t xml:space="preserve"> </w:t>
      </w:r>
      <m:oMath>
        <m:r>
          <m:t>β</m:t>
        </m:r>
      </m:oMath>
      <w:r>
        <w:t xml:space="preserve">. Метод литературного программирования позволил автоматически генерировать исполняемые файлы и отчёты.</w:t>
      </w:r>
    </w:p>
    <w:bookmarkEnd w:id="45"/>
    <w:bookmarkStart w:id="4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46">
        <w:r>
          <w:rPr>
            <w:rStyle w:val="Hyperlink"/>
          </w:rPr>
          <w:t xml:space="preserve">Лабораторная №6</w:t>
        </w:r>
      </w:hyperlink>
    </w:p>
    <w:bookmarkStart w:id="47" w:name="refs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esystem.rudn.ru/pluginfile.php/3094247/mod_resource/content/3/simulation-modeling-lab.pdf#chapter.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esystem.rudn.ru/pluginfile.php/3094247/mod_resource/content/3/simulation-modeling-lab.pdf#chapter.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Еремина Оксана Андреевна</dc:creator>
  <dc:language>ru-RU</dc:language>
  <cp:keywords/>
  <dcterms:created xsi:type="dcterms:W3CDTF">2026-08-29T19:37:27Z</dcterms:created>
  <dcterms:modified xsi:type="dcterms:W3CDTF">2026-08-29T19:37:27Z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Реализация основных моделей в подходе сетей Петри</vt:lpwstr>
  </property>
  <property fmtid="{D5CDD505-2E9C-101B-9397-08002B2CF9AE}" pid="17" name="toc-title">
    <vt:lpwstr>Содержание</vt:lpwstr>
  </property>
</Properties>
</file>