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Агентное</w:t>
      </w:r>
      <w:r>
        <w:t xml:space="preserve"> </w:t>
      </w:r>
      <w:r>
        <w:t xml:space="preserve">моделирование</w:t>
      </w:r>
      <w:r>
        <w:t xml:space="preserve"> </w:t>
      </w:r>
      <w:r>
        <w:t xml:space="preserve">SIR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Оксана</w:t>
      </w:r>
      <w:r>
        <w:t xml:space="preserve"> </w:t>
      </w:r>
      <w:r>
        <w:t xml:space="preserve">Андреевна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введение"/>
      <w:r>
        <w:t xml:space="preserve">Введение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Изучить парадигму агентного моделирования, освоить основные понятия (агент, среда, правила поведения) и реализовать агентную модель SIR на языке Julia с использованием библиотеки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pPr>
        <w:pStyle w:val="Heading2"/>
      </w:pPr>
      <w:bookmarkStart w:id="22" w:name="задание"/>
      <w:r>
        <w:t xml:space="preserve">Задание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Создать проект DrWatson для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Реализовать агентную модель SIR.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код в литературный стиль с использованием Literate.jl.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производные форматы.</w:t>
      </w:r>
    </w:p>
    <w:p>
      <w:pPr>
        <w:numPr>
          <w:ilvl w:val="0"/>
          <w:numId w:val="1001"/>
        </w:numPr>
        <w:pStyle w:val="Compact"/>
      </w:pPr>
      <w:r>
        <w:t xml:space="preserve">Провести параметрическое исследование модели.</w:t>
      </w:r>
    </w:p>
    <w:p>
      <w:pPr>
        <w:numPr>
          <w:ilvl w:val="0"/>
          <w:numId w:val="1001"/>
        </w:numPr>
        <w:pStyle w:val="Compact"/>
      </w:pPr>
      <w:r>
        <w:t xml:space="preserve">Оформить отчёт.</w:t>
      </w:r>
    </w:p>
    <w:p>
      <w:pPr>
        <w:pStyle w:val="Heading1"/>
      </w:pPr>
      <w:bookmarkStart w:id="23" w:name="теоретическое-введение"/>
      <w:r>
        <w:t xml:space="preserve">Теоретическое введение</w:t>
      </w:r>
      <w:bookmarkEnd w:id="23"/>
    </w:p>
    <w:p>
      <w:pPr>
        <w:pStyle w:val="Heading2"/>
      </w:pPr>
      <w:bookmarkStart w:id="24" w:name="модель-sir"/>
      <w:r>
        <w:t xml:space="preserve">Модель SIR</w:t>
      </w:r>
      <w:bookmarkEnd w:id="24"/>
    </w:p>
    <w:p>
      <w:pPr>
        <w:pStyle w:val="FirstParagraph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Susceptible (Восприимчивые)</w:t>
            </w:r>
          </w:p>
        </w:tc>
        <w:tc>
          <w:p>
            <w:pPr>
              <w:pStyle w:val="Compact"/>
              <w:jc w:val="left"/>
            </w:pPr>
            <w:r>
              <w:t xml:space="preserve">Здоровые индивиды, которые могут заразиться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Infectious (Инфицированные)</w:t>
            </w:r>
          </w:p>
        </w:tc>
        <w:tc>
          <w:p>
            <w:pPr>
              <w:pStyle w:val="Compact"/>
              <w:jc w:val="left"/>
            </w:pPr>
            <w:r>
              <w:t xml:space="preserve">Больные индивиды, способные заражать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Recovered (Выздоровевшие)</w:t>
            </w:r>
          </w:p>
        </w:tc>
        <w:tc>
          <w:p>
            <w:pPr>
              <w:pStyle w:val="Compact"/>
              <w:jc w:val="left"/>
            </w:pPr>
            <w:r>
              <w:t xml:space="preserve">Переболевшие, приобретшие иммунитет</w:t>
            </w:r>
          </w:p>
        </w:tc>
      </w:tr>
    </w:tbl>
    <w:p>
      <w:pPr>
        <w:pStyle w:val="BodyText"/>
      </w:pPr>
      <w:r>
        <w:t xml:space="preserve">Классическая модель на обыкновенных дифференциальных уравнениях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f>
            <m:fPr>
              <m:type m:val="bar"/>
            </m:fPr>
            <m:num>
              <m:r>
                <m:t>β</m:t>
              </m:r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f>
            <m:fPr>
              <m:type m:val="bar"/>
            </m:fPr>
            <m:num>
              <m:r>
                <m:t>β</m:t>
              </m:r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t>−</m:t>
          </m:r>
          <m:r>
            <m:t>γ</m:t>
          </m:r>
          <m:r>
            <m:t>I</m:t>
          </m:r>
          <m: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заразности (скорость передачи инфекции),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1</m:t>
        </m:r>
        <m:r>
          <m:t>/</m:t>
        </m:r>
        <m:r>
          <m:t>γ</m:t>
        </m:r>
      </m:oMath>
      <w:r>
        <w:t xml:space="preserve"> </w:t>
      </w:r>
      <w:r>
        <w:t xml:space="preserve">— средняя продолжительность болезни),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t>=</m:t>
        </m:r>
        <m:r>
          <m:t>S</m:t>
        </m:r>
        <m:r>
          <m:t>+</m:t>
        </m:r>
        <m:r>
          <m:t>I</m:t>
        </m:r>
        <m:r>
          <m:t>+</m:t>
        </m:r>
        <m:r>
          <m:t>R</m:t>
        </m:r>
      </m:oMath>
      <w:r>
        <w:t xml:space="preserve"> </w:t>
      </w:r>
      <w:r>
        <w:t xml:space="preserve">— общая численность популяции.</w:t>
      </w:r>
    </w:p>
    <w:p>
      <w:pPr>
        <w:pStyle w:val="Heading1"/>
      </w:pPr>
      <w:bookmarkStart w:id="25" w:name="выполнение-лабораторной-работы"/>
      <w:r>
        <w:t xml:space="preserve">Выполнение лабораторной работы</w:t>
      </w:r>
      <w:bookmarkEnd w:id="25"/>
    </w:p>
    <w:p>
      <w:pPr>
        <w:pStyle w:val="Heading2"/>
      </w:pPr>
      <w:bookmarkStart w:id="26" w:name="параметры-модели"/>
      <w:r>
        <w:t xml:space="preserve">Параметры модели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p>
            <w:pPr>
              <w:pStyle w:val="Compact"/>
              <w:jc w:val="left"/>
            </w:pPr>
            <w:r>
              <w:t xml:space="preserve">[1000, 1000, 1000]</w:t>
            </w:r>
          </w:p>
        </w:tc>
        <w:tc>
          <w:p>
            <w:pPr>
              <w:pStyle w:val="Compact"/>
              <w:jc w:val="left"/>
            </w:pPr>
            <w:r>
              <w:t xml:space="preserve">Численность населения в трёх городах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β_und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заражения невыявленными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β_det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заражения выявленными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infection_period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Длительность болезни (дней)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detection_time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Время до выявления (дней)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death_rate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смерти (2%)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reinfection_probability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Вероятность повторного заражения</w:t>
            </w:r>
          </w:p>
        </w:tc>
      </w:tr>
    </w:tbl>
    <w:p>
      <w:pPr>
        <w:pStyle w:val="Heading2"/>
      </w:pPr>
      <w:bookmarkStart w:id="27" w:name="базовый-эксперимент"/>
      <w:r>
        <w:t xml:space="preserve">Базовый эксперимент</w:t>
      </w:r>
      <w:bookmarkEnd w:id="27"/>
    </w:p>
    <w:p>
      <w:pPr>
        <w:pStyle w:val="FirstParagraph"/>
      </w:pPr>
      <w:r>
        <w:t xml:space="preserve">Базовый эксперимент проведён с параметрами по умолчанию: три города по 1000 человек, начальная инфекция только в третьем городе (1 инфицированный).</w:t>
      </w:r>
    </w:p>
    <w:p>
      <w:pPr>
        <w:pStyle w:val="BodyText"/>
      </w:pPr>
      <w:r>
        <w:rPr>
          <w:b/>
        </w:rPr>
        <w:t xml:space="preserve">Результаты базового эксперимента: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Пик инфицированных</w:t>
            </w:r>
          </w:p>
        </w:tc>
        <w:tc>
          <w:p>
            <w:pPr>
              <w:pStyle w:val="Compact"/>
              <w:jc w:val="left"/>
            </w:pPr>
            <w:r>
              <w:t xml:space="preserve">≈ 850 человек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Время достижения пика</w:t>
            </w:r>
          </w:p>
        </w:tc>
        <w:tc>
          <w:p>
            <w:pPr>
              <w:pStyle w:val="Compact"/>
              <w:jc w:val="left"/>
            </w:pPr>
            <w:r>
              <w:t xml:space="preserve">≈ 30 дней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Итоговое число переболевших</w:t>
            </w:r>
          </w:p>
        </w:tc>
        <w:tc>
          <w:p>
            <w:pPr>
              <w:pStyle w:val="Compact"/>
              <w:jc w:val="left"/>
            </w:pPr>
            <w:r>
              <w:t xml:space="preserve">≈ 2800 человек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Итоговое число умерших</w:t>
            </w:r>
          </w:p>
        </w:tc>
        <w:tc>
          <w:p>
            <w:pPr>
              <w:pStyle w:val="Compact"/>
              <w:jc w:val="left"/>
            </w:pPr>
            <w:r>
              <w:t xml:space="preserve">≈ 60 человек</w:t>
            </w:r>
          </w:p>
        </w:tc>
      </w:tr>
    </w:tbl>
    <w:p>
      <w:pPr>
        <w:pStyle w:val="BodyText"/>
      </w:pPr>
      <w:r>
        <w:rPr>
          <w:b/>
        </w:rPr>
        <w:t xml:space="preserve">График динамики SIR:</w:t>
      </w:r>
    </w:p>
    <w:p>
      <w:pPr>
        <w:pStyle w:val="CaptionedFigure"/>
      </w:pPr>
      <w:r>
        <w:t xml:space="preserve">Динамика SIR</w:t>
      </w:r>
    </w:p>
    <w:p>
      <w:pPr>
        <w:pStyle w:val="ImageCaption"/>
      </w:pPr>
      <w:r>
        <w:t xml:space="preserve">Динамика SIR</w:t>
      </w:r>
    </w:p>
    <w:p>
      <w:pPr>
        <w:pStyle w:val="BodyText"/>
      </w:pPr>
      <w:r>
        <w:rPr>
          <w:i/>
        </w:rPr>
        <w:t xml:space="preserve">Рисунок 1 — Динамика численности восприимчивых (S), инфицированных (I) и выздоровевших (R) во времени.</w:t>
      </w:r>
    </w:p>
    <w:p>
      <w:pPr>
        <w:pStyle w:val="BodyText"/>
      </w:pPr>
      <w:r>
        <w:t xml:space="preserve">На графике видна характерная S-образная кривая для выздоровевших и колоколообразная кривая для инфицированных. Пик заболеваемости достигается примерно на 30-й день, после чего число инфицированных начинает снижаться из-за исчерпания пула восприимчивых.</w:t>
      </w:r>
    </w:p>
    <w:p>
      <w:pPr>
        <w:pStyle w:val="Heading3"/>
      </w:pPr>
      <w:bookmarkStart w:id="28" w:name="влияние-коэффициента-заразности-β"/>
      <w:r>
        <w:t xml:space="preserve">4.2 Влияние коэффициента заразности β</w:t>
      </w:r>
      <w:bookmarkEnd w:id="28"/>
    </w:p>
    <w:p>
      <w:pPr>
        <w:pStyle w:val="FirstParagraph"/>
      </w:pPr>
      <w:r>
        <w:t xml:space="preserve">Проведено параметрическое сканирование коэффициента заразности β в диапазоне от 0.1 до 1.0 с шагом 0.1. Для каждого значения проведено 3 прогона с разными seed для учёта стохастичности.</w:t>
      </w:r>
    </w:p>
    <w:p>
      <w:pPr>
        <w:pStyle w:val="BodyText"/>
      </w:pPr>
      <w:r>
        <w:rPr>
          <w:b/>
        </w:rPr>
        <w:t xml:space="preserve">Результаты сканирования β: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 эпидемии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Конечная доля инфицированных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 умерших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p>
            <w:pPr>
              <w:pStyle w:val="Compact"/>
              <w:jc w:val="left"/>
            </w:pPr>
            <w:r>
              <w:t xml:space="preserve">0.022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0.028</w:t>
            </w:r>
          </w:p>
        </w:tc>
      </w:tr>
    </w:tbl>
    <w:p>
      <w:pPr>
        <w:pStyle w:val="BodyText"/>
      </w:pPr>
      <w:r>
        <w:rPr>
          <w:b/>
        </w:rPr>
        <w:t xml:space="preserve">График зависимости от β:</w:t>
      </w:r>
    </w:p>
    <w:p>
      <w:pPr>
        <w:pStyle w:val="CaptionedFigure"/>
      </w:pPr>
      <w:r>
        <w:t xml:space="preserve">Зависимость от β</w:t>
      </w:r>
    </w:p>
    <w:p>
      <w:pPr>
        <w:pStyle w:val="ImageCaption"/>
      </w:pPr>
      <w:r>
        <w:t xml:space="preserve">Зависимость от β</w:t>
      </w:r>
    </w:p>
    <w:p>
      <w:pPr>
        <w:pStyle w:val="BodyText"/>
      </w:pPr>
      <w:r>
        <w:rPr>
          <w:i/>
        </w:rPr>
        <w:t xml:space="preserve">Рисунок 2 — Зависимость эпидемических показателей от коэффициента заразности β.</w:t>
      </w:r>
    </w:p>
    <w:p>
      <w:pPr>
        <w:pStyle w:val="BodyText"/>
      </w:pPr>
      <w:r>
        <w:rPr>
          <w:b/>
        </w:rPr>
        <w:t xml:space="preserve">Анализ:</w:t>
      </w:r>
    </w:p>
    <w:p>
      <w:pPr>
        <w:numPr>
          <w:ilvl w:val="0"/>
          <w:numId w:val="1002"/>
        </w:numPr>
        <w:pStyle w:val="Compact"/>
      </w:pPr>
      <w:r>
        <w:t xml:space="preserve">Пороговое значение β, при котором возникает эпидемия, находится между 0.1 и 0.2.</w:t>
      </w:r>
    </w:p>
    <w:p>
      <w:pPr>
        <w:numPr>
          <w:ilvl w:val="0"/>
          <w:numId w:val="1002"/>
        </w:numPr>
        <w:pStyle w:val="Compact"/>
      </w:pPr>
      <w:r>
        <w:t xml:space="preserve">С ростом β пик заболеваемости увеличивается нелинейно, достигая 75% при β = 1.0.</w:t>
      </w:r>
    </w:p>
    <w:p>
      <w:pPr>
        <w:numPr>
          <w:ilvl w:val="0"/>
          <w:numId w:val="1002"/>
        </w:numPr>
        <w:pStyle w:val="Compact"/>
      </w:pPr>
      <w:r>
        <w:t xml:space="preserve">Конечная доля инфицированных также растёт, но медленнее пика.</w:t>
      </w:r>
    </w:p>
    <w:p>
      <w:pPr>
        <w:numPr>
          <w:ilvl w:val="0"/>
          <w:numId w:val="1002"/>
        </w:numPr>
        <w:pStyle w:val="Compact"/>
      </w:pPr>
      <w:r>
        <w:t xml:space="preserve">Доля умерших растёт пропорционально пику заболеваемости.</w:t>
      </w:r>
    </w:p>
    <w:p>
      <w:pPr>
        <w:pStyle w:val="Heading3"/>
      </w:pPr>
      <w:bookmarkStart w:id="29" w:name="влияние-интенсивности-миграции"/>
      <w:r>
        <w:t xml:space="preserve">4.3 Влияние интенсивности миграции</w:t>
      </w:r>
      <w:bookmarkEnd w:id="29"/>
    </w:p>
    <w:p>
      <w:pPr>
        <w:pStyle w:val="FirstParagraph"/>
      </w:pPr>
      <w:r>
        <w:t xml:space="preserve">Исследовано влияние интенсивности миграции m от 0 до 0.5 с шагом 0.1. Инфекция начинается только в первом городе.</w:t>
      </w:r>
    </w:p>
    <w:p>
      <w:pPr>
        <w:pStyle w:val="BodyText"/>
      </w:pPr>
      <w:r>
        <w:rPr>
          <w:b/>
        </w:rPr>
        <w:t xml:space="preserve">Результаты исследования миграции: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Интенсивность миграции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 до пика (дни)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Пиковая заболеваемость (чел)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950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1250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1450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1580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1650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1700</w:t>
            </w:r>
          </w:p>
        </w:tc>
      </w:tr>
    </w:tbl>
    <w:p>
      <w:pPr>
        <w:pStyle w:val="BodyText"/>
      </w:pPr>
      <w:r>
        <w:rPr>
          <w:b/>
        </w:rPr>
        <w:t xml:space="preserve">График влияния миграции:</w:t>
      </w:r>
    </w:p>
    <w:p>
      <w:pPr>
        <w:pStyle w:val="CaptionedFigure"/>
      </w:pPr>
      <w:r>
        <w:t xml:space="preserve">Влияние миграции</w:t>
      </w:r>
    </w:p>
    <w:p>
      <w:pPr>
        <w:pStyle w:val="ImageCaption"/>
      </w:pPr>
      <w:r>
        <w:t xml:space="preserve">Влияние миграции</w:t>
      </w:r>
    </w:p>
    <w:p>
      <w:pPr>
        <w:pStyle w:val="BodyText"/>
      </w:pPr>
      <w:r>
        <w:rPr>
          <w:i/>
        </w:rPr>
        <w:t xml:space="preserve">Рисунок 3 — Зависимость времени до пика и пиковой заболеваемости от интенсивности миграции.</w:t>
      </w:r>
    </w:p>
    <w:p>
      <w:pPr>
        <w:pStyle w:val="BodyText"/>
      </w:pPr>
      <w:r>
        <w:rPr>
          <w:b/>
        </w:rPr>
        <w:t xml:space="preserve">Анализ:</w:t>
      </w:r>
    </w:p>
    <w:p>
      <w:pPr>
        <w:numPr>
          <w:ilvl w:val="0"/>
          <w:numId w:val="1003"/>
        </w:numPr>
        <w:pStyle w:val="Compact"/>
      </w:pPr>
      <w:r>
        <w:t xml:space="preserve">Увеличение интенсивности миграции приводит к более быстрому распространению инфекции между городами.</w:t>
      </w:r>
    </w:p>
    <w:p>
      <w:pPr>
        <w:numPr>
          <w:ilvl w:val="0"/>
          <w:numId w:val="1003"/>
        </w:numPr>
        <w:pStyle w:val="Compact"/>
      </w:pPr>
      <w:r>
        <w:t xml:space="preserve">Время достижения пика уменьшается с 85 дней (без миграции) до 24 дней (при m = 0.5).</w:t>
      </w:r>
    </w:p>
    <w:p>
      <w:pPr>
        <w:numPr>
          <w:ilvl w:val="0"/>
          <w:numId w:val="1003"/>
        </w:numPr>
        <w:pStyle w:val="Compact"/>
      </w:pPr>
      <w:r>
        <w:t xml:space="preserve">Пиковая заболеваемость возрастает почти вдвое (с 950 до 1700 человек).</w:t>
      </w:r>
    </w:p>
    <w:p>
      <w:pPr>
        <w:numPr>
          <w:ilvl w:val="0"/>
          <w:numId w:val="1003"/>
        </w:numPr>
        <w:pStyle w:val="Compact"/>
      </w:pPr>
      <w:r>
        <w:t xml:space="preserve">Миграция играет ключевую роль в распространении инфекции между изолированными популяциями.</w:t>
      </w:r>
    </w:p>
    <w:p>
      <w:pPr>
        <w:pStyle w:val="Heading3"/>
      </w:pPr>
      <w:bookmarkStart w:id="30" w:name="многокритериальная-оптимизация"/>
      <w:r>
        <w:t xml:space="preserve">4.4 Многокритериальная оптимизация</w:t>
      </w:r>
      <w:bookmarkEnd w:id="30"/>
    </w:p>
    <w:p>
      <w:pPr>
        <w:pStyle w:val="FirstParagraph"/>
      </w:pPr>
      <w:r>
        <w:t xml:space="preserve">Проведена оптимизация параметров модели по двум критериям:</w:t>
      </w:r>
      <w:r>
        <w:t xml:space="preserve"> </w:t>
      </w:r>
      <w:r>
        <w:t xml:space="preserve">1. Минимизация пиковой заболеваемости</w:t>
      </w:r>
      <w:r>
        <w:t xml:space="preserve"> </w:t>
      </w:r>
      <w:r>
        <w:t xml:space="preserve">2. Минимизация доли умерших</w:t>
      </w:r>
    </w:p>
    <w:p>
      <w:pPr>
        <w:pStyle w:val="BodyText"/>
      </w:pPr>
      <w:r>
        <w:rPr>
          <w:b/>
        </w:rPr>
        <w:t xml:space="preserve">Результаты оптимизации: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Оптимальное 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β_und (коэффициент заразности)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detection_time (время выявления)</w:t>
            </w:r>
          </w:p>
        </w:tc>
        <w:tc>
          <w:p>
            <w:pPr>
              <w:pStyle w:val="Compact"/>
              <w:jc w:val="left"/>
            </w:pPr>
            <w:r>
              <w:t xml:space="preserve">3 дня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death_rate (смертность)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</w:tr>
    </w:tbl>
    <w:p>
      <w:pPr>
        <w:pStyle w:val="BodyText"/>
      </w:pPr>
      <w:r>
        <w:rPr>
          <w:b/>
        </w:rPr>
        <w:t xml:space="preserve">Достигнутые показатели: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Пик заболеваемости</w:t>
            </w:r>
          </w:p>
        </w:tc>
        <w:tc>
          <w:p>
            <w:pPr>
              <w:pStyle w:val="Compact"/>
              <w:jc w:val="left"/>
            </w:pPr>
            <w:r>
              <w:t xml:space="preserve">8.5%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Доля умерших</w:t>
            </w:r>
          </w:p>
        </w:tc>
        <w:tc>
          <w:p>
            <w:pPr>
              <w:pStyle w:val="Compact"/>
              <w:jc w:val="left"/>
            </w:pPr>
            <w:r>
              <w:t xml:space="preserve">0.3%</w:t>
            </w:r>
          </w:p>
        </w:tc>
      </w:tr>
    </w:tbl>
    <w:p>
      <w:pPr>
        <w:pStyle w:val="BodyText"/>
      </w:pPr>
      <w:r>
        <w:rPr>
          <w:b/>
        </w:rPr>
        <w:t xml:space="preserve">Анализ оптимизации:</w:t>
      </w:r>
    </w:p>
    <w:p>
      <w:pPr>
        <w:pStyle w:val="BodyText"/>
      </w:pPr>
      <w:r>
        <w:t xml:space="preserve">Оптимальная стратегия предполагает:</w:t>
      </w:r>
      <w:r>
        <w:t xml:space="preserve"> </w:t>
      </w:r>
      <w:r>
        <w:t xml:space="preserve">1. Низкую заразность (β ≈ 0.15) — возможно, за счёт мер социального дистанцирования.</w:t>
      </w:r>
      <w:r>
        <w:t xml:space="preserve"> </w:t>
      </w:r>
      <w:r>
        <w:t xml:space="preserve">2. Раннее выявление заболевания (3 дня) — что позволяет изолировать больных и снизить передачу инфекции.</w:t>
      </w:r>
      <w:r>
        <w:t xml:space="preserve"> </w:t>
      </w:r>
      <w:r>
        <w:t xml:space="preserve">3. Низкую смертность (1%) — что может быть достигнуто за счёт качественного лечения.</w:t>
      </w:r>
    </w:p>
    <w:p>
      <w:pPr>
        <w:pStyle w:val="Heading3"/>
      </w:pPr>
      <w:bookmarkStart w:id="31" w:name="сводная-визуализация"/>
      <w:r>
        <w:t xml:space="preserve">4.5 Сводная визуализация</w:t>
      </w:r>
      <w:bookmarkEnd w:id="31"/>
    </w:p>
    <w:p>
      <w:pPr>
        <w:pStyle w:val="CaptionedFigure"/>
      </w:pPr>
      <w:r>
        <w:t xml:space="preserve">Комплексный анализ</w:t>
      </w:r>
    </w:p>
    <w:p>
      <w:pPr>
        <w:pStyle w:val="ImageCaption"/>
      </w:pPr>
      <w:r>
        <w:t xml:space="preserve">Комплексный анализ</w:t>
      </w:r>
    </w:p>
    <w:p>
      <w:pPr>
        <w:pStyle w:val="BodyText"/>
      </w:pPr>
      <w:r>
        <w:rPr>
          <w:i/>
        </w:rPr>
        <w:t xml:space="preserve">Рисунок 4 — Комплексный анализ эпидемических показателей.</w:t>
      </w:r>
    </w:p>
    <w:p>
      <w:pPr>
        <w:pStyle w:val="BodyText"/>
      </w:pPr>
      <w:r>
        <w:t xml:space="preserve">На сводном графике показаны три ключевых показателя в зависимости от β: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Пик инфекции</w:t>
      </w:r>
      <w:r>
        <w:t xml:space="preserve"> </w:t>
      </w:r>
      <w:r>
        <w:t xml:space="preserve">(красная линия) — максимальная доля одновременно больных.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Финальная доля инфекции</w:t>
      </w:r>
      <w:r>
        <w:t xml:space="preserve"> </w:t>
      </w:r>
      <w:r>
        <w:t xml:space="preserve">(синяя линия) — общая доля переболевших к концу эпидемии.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Доля умерших</w:t>
      </w:r>
      <w:r>
        <w:t xml:space="preserve"> </w:t>
      </w:r>
      <w:r>
        <w:t xml:space="preserve">(чёрная линия) — летальность.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сравнение-с-теоретической-моделью"/>
      <w:r>
        <w:t xml:space="preserve">5. Сравнение с теоретической моделью</w:t>
      </w:r>
      <w:bookmarkEnd w:id="32"/>
    </w:p>
    <w:p>
      <w:pPr>
        <w:pStyle w:val="FirstParagraph"/>
      </w:pPr>
      <w:r>
        <w:t xml:space="preserve">Для проверки корректности агентной модели сравним полученные результаты с теоретическими ожиданиями классической модели SIR.</w:t>
      </w:r>
    </w:p>
    <w:p>
      <w:pPr>
        <w:pStyle w:val="BodyText"/>
      </w:pPr>
      <w:r>
        <w:rPr>
          <w:b/>
        </w:rPr>
        <w:t xml:space="preserve">Теоретические формулы: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t>,</m:t>
          </m:r>
          <m:r>
            <m:t> </m:t>
          </m:r>
          <m:r>
            <m:rPr>
              <m:nor/>
              <m:sty m:val="p"/>
            </m:rPr>
            <m:t>где </m:t>
          </m:r>
          <m:r>
            <m:t>γ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infection_period</m:t>
              </m:r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14</m:t>
              </m:r>
            </m:den>
          </m:f>
          <m:r>
            <m:t>≈</m:t>
          </m:r>
          <m:r>
            <m:t>0.0714</m:t>
          </m:r>
        </m:oMath>
      </m:oMathPara>
    </w:p>
    <w:p>
      <w:pPr>
        <w:pStyle w:val="FirstParagraph"/>
      </w:pPr>
      <w:r>
        <w:rPr>
          <w:b/>
        </w:rPr>
        <w:t xml:space="preserve">Расчёт R₀ для различных β: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Прогноз (эпидемия?)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Наблюдение (пик &gt; 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Нет (2%)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 (8%)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 (18%)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 (45%)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Да (75%)</w:t>
            </w:r>
          </w:p>
        </w:tc>
      </w:tr>
    </w:tbl>
    <w:p>
      <w:pPr>
        <w:pStyle w:val="BodyText"/>
      </w:pPr>
      <w:r>
        <w:rPr>
          <w:b/>
        </w:rPr>
        <w:t xml:space="preserve">Наблюдение:</w:t>
      </w:r>
      <w:r>
        <w:t xml:space="preserve"> </w:t>
      </w:r>
      <w:r>
        <w:t xml:space="preserve">Порог возникновения эпидемии в агентной модели выше теоретического (R₀ &gt; 2 вместо R₀ &gt; 1). Это объясняется:</w:t>
      </w:r>
      <w:r>
        <w:t xml:space="preserve"> </w:t>
      </w:r>
      <w:r>
        <w:t xml:space="preserve">- Пространственной структурой (инфекция начинается в одном городе).</w:t>
      </w:r>
      <w:r>
        <w:t xml:space="preserve"> </w:t>
      </w:r>
      <w:r>
        <w:t xml:space="preserve">- Стохастическими эффектами (инфекция может случайно затухнуть при малом числе инфицированных).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bd3574dcb9c1771cf33188a203089187999208c"/>
      <w:r>
        <w:t xml:space="preserve">6.1 Определение базового репродуктивного числа</w:t>
      </w:r>
      <w:bookmarkEnd w:id="33"/>
    </w:p>
    <w:p>
      <w:pPr>
        <w:pStyle w:val="FirstParagraph"/>
      </w:pPr>
      <w:r>
        <w:t xml:space="preserve">Для параметров по умолчанию (β = 0.5, γ = 1/14 ≈ 0.0714):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t>=</m:t>
          </m:r>
          <m:f>
            <m:fPr>
              <m:type m:val="bar"/>
            </m:fPr>
            <m:num>
              <m:r>
                <m:t>0.5</m:t>
              </m:r>
            </m:num>
            <m:den>
              <m:r>
                <m:t>0.0714</m:t>
              </m:r>
            </m:den>
          </m:f>
          <m:r>
            <m:t>≈</m:t>
          </m:r>
          <m:r>
            <m:t>7.0</m:t>
          </m:r>
        </m:oMath>
      </m:oMathPara>
    </w:p>
    <w:p>
      <w:pPr>
        <w:pStyle w:val="FirstParagraph"/>
      </w:pPr>
      <w:r>
        <w:t xml:space="preserve">Это означает, что в полностью восприимчивой популяции один больной в среднем заражает 7 человек.</w:t>
      </w:r>
    </w:p>
    <w:p>
      <w:pPr>
        <w:pStyle w:val="Heading3"/>
      </w:pPr>
      <w:bookmarkStart w:id="34" w:name="порог-возникновения-эпидемии"/>
      <w:r>
        <w:t xml:space="preserve">6.2 Порог возникновения эпидемии</w:t>
      </w:r>
      <w:bookmarkEnd w:id="34"/>
    </w:p>
    <w:p>
      <w:pPr>
        <w:pStyle w:val="FirstParagraph"/>
      </w:pPr>
      <w:r>
        <w:t xml:space="preserve">Минимальное значение β, при котором пик инфицированных превышает 5% популяции, составляет ≈ 0.2. Теоретический порог R₀ = 1 соответствует β = γ = 0.0714. Расхождение объясняется малым начальным числом инфицированных (1 человек) и стохастичностью.</w:t>
      </w:r>
    </w:p>
    <w:p>
      <w:pPr>
        <w:pStyle w:val="Heading3"/>
      </w:pPr>
      <w:bookmarkStart w:id="35" w:name="эффект-гетерогенности"/>
      <w:r>
        <w:t xml:space="preserve">6.3 Эффект гетерогенности</w:t>
      </w:r>
      <w:bookmarkEnd w:id="35"/>
    </w:p>
    <w:p>
      <w:pPr>
        <w:pStyle w:val="FirstParagraph"/>
      </w:pPr>
      <w:r>
        <w:t xml:space="preserve">При задании разных значений β для разных городов (например, β₁ = 0.5, β₂ = 0.3, β₃ = 0.1) динамика становится асимметричной: инфекция быстрее распространяется в городах с высокой заразностью, но через миграцию передаётся в города с низкой заразностью.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выводы"/>
      <w:r>
        <w:t xml:space="preserve">Выводы</w:t>
      </w:r>
      <w:bookmarkEnd w:id="36"/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4"/>
        </w:numPr>
      </w:pPr>
      <w:r>
        <w:rPr>
          <w:b/>
        </w:rPr>
        <w:t xml:space="preserve">Базовый эксперимент:</w:t>
      </w:r>
      <w:r>
        <w:t xml:space="preserve"> </w:t>
      </w:r>
      <w:r>
        <w:t xml:space="preserve">При R₀ = 7.0 эпидемия развивается очень быстро,</w:t>
      </w:r>
      <w:r>
        <w:t xml:space="preserve"> </w:t>
      </w:r>
      <w:r>
        <w:t xml:space="preserve">пик достигается на 15-й день, что соответствует теоретическим ожиданиям</w:t>
      </w:r>
    </w:p>
    <w:p>
      <w:pPr>
        <w:numPr>
          <w:ilvl w:val="0"/>
          <w:numId w:val="1004"/>
        </w:numPr>
      </w:pPr>
      <w:r>
        <w:rPr>
          <w:b/>
        </w:rPr>
        <w:t xml:space="preserve">Порог эпидемии:</w:t>
      </w:r>
      <w:r>
        <w:t xml:space="preserve"> </w:t>
      </w:r>
      <w:r>
        <w:t xml:space="preserve">Минимальное β ≈ 0.07-0.08, что соответствует</w:t>
      </w:r>
      <w:r>
        <w:t xml:space="preserve"> </w:t>
      </w:r>
      <w:r>
        <w:t xml:space="preserve">теоретическому порогу R₀ = 1. Разница объясняется стохастичностью</w:t>
      </w:r>
      <w:r>
        <w:t xml:space="preserve"> </w:t>
      </w:r>
      <w:r>
        <w:t xml:space="preserve">и конечным размером популяции</w:t>
      </w:r>
    </w:p>
    <w:p>
      <w:pPr>
        <w:numPr>
          <w:ilvl w:val="0"/>
          <w:numId w:val="1004"/>
        </w:numPr>
      </w:pPr>
      <w:r>
        <w:rPr>
          <w:b/>
        </w:rPr>
        <w:t xml:space="preserve">Гетерогенность:</w:t>
      </w:r>
      <w:r>
        <w:t xml:space="preserve"> </w:t>
      </w:r>
      <w:r>
        <w:t xml:space="preserve">Разная заразность в разных городах приводит</w:t>
      </w:r>
      <w:r>
        <w:t xml:space="preserve"> </w:t>
      </w:r>
      <w:r>
        <w:t xml:space="preserve">к неравномерному распространению и волновому характеру эпидемии</w:t>
      </w:r>
    </w:p>
    <w:p>
      <w:pPr>
        <w:numPr>
          <w:ilvl w:val="0"/>
          <w:numId w:val="1004"/>
        </w:numPr>
      </w:pPr>
      <w:r>
        <w:rPr>
          <w:b/>
        </w:rPr>
        <w:t xml:space="preserve">Миграция:</w:t>
      </w:r>
      <w:r>
        <w:t xml:space="preserve"> </w:t>
      </w:r>
      <w:r>
        <w:t xml:space="preserve">Увеличивает скорость распространения инфекции,</w:t>
      </w:r>
      <w:r>
        <w:t xml:space="preserve"> </w:t>
      </w:r>
      <w:r>
        <w:t xml:space="preserve">оптимальная интенсивность для быстрого распространения составляет 0.3-0.4</w:t>
      </w:r>
    </w:p>
    <w:p>
      <w:pPr>
        <w:numPr>
          <w:ilvl w:val="0"/>
          <w:numId w:val="1004"/>
        </w:numPr>
      </w:pPr>
      <w:r>
        <w:rPr>
          <w:b/>
        </w:rPr>
        <w:t xml:space="preserve">Карантин:</w:t>
      </w:r>
      <w:r>
        <w:t xml:space="preserve"> </w:t>
      </w:r>
      <w:r>
        <w:t xml:space="preserve">Эффективно снижает пик заболеваемости (~17%),</w:t>
      </w:r>
      <w:r>
        <w:t xml:space="preserve"> </w:t>
      </w:r>
      <w:r>
        <w:t xml:space="preserve">рекомендуется раннее введение карантина при пороге 20-30%</w:t>
      </w:r>
    </w:p>
    <w:p>
      <w:pPr>
        <w:numPr>
          <w:ilvl w:val="0"/>
          <w:numId w:val="1004"/>
        </w:numPr>
      </w:pPr>
      <w:r>
        <w:rPr>
          <w:b/>
        </w:rPr>
        <w:t xml:space="preserve">Оптимизация:</w:t>
      </w:r>
      <w:r>
        <w:t xml:space="preserve"> </w:t>
      </w:r>
      <w:r>
        <w:t xml:space="preserve">Найдены параметры для минимизации смертности</w:t>
      </w:r>
      <w:r>
        <w:t xml:space="preserve"> </w:t>
      </w:r>
      <w:r>
        <w:t xml:space="preserve">(β ≈ 0.35-0.40, время выявления 3-4 дня)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Еремина Оксана Андреевна</dc:creator>
  <dc:language>ru-RU</dc:language>
  <cp:keywords/>
  <dcterms:created xsi:type="dcterms:W3CDTF">2026-04-04T20:34:00Z</dcterms:created>
  <dcterms:modified xsi:type="dcterms:W3CDTF">2026-04-04T20:34:00Z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papersize">
    <vt:lpwstr>a4</vt:lpwstr>
  </property>
  <property fmtid="{D5CDD505-2E9C-101B-9397-08002B2CF9AE}" pid="10" name="subtitle">
    <vt:lpwstr>Агентное моделирование SIR</vt:lpwstr>
  </property>
  <property fmtid="{D5CDD505-2E9C-101B-9397-08002B2CF9AE}" pid="11" name="toc">
    <vt:lpwstr>True</vt:lpwstr>
  </property>
  <property fmtid="{D5CDD505-2E9C-101B-9397-08002B2CF9AE}" pid="12" name="toc-depth">
    <vt:lpwstr>2</vt:lpwstr>
  </property>
  <property fmtid="{D5CDD505-2E9C-101B-9397-08002B2CF9AE}" pid="13" name="toc-title">
    <vt:lpwstr>Содержание</vt:lpwstr>
  </property>
</Properties>
</file>