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9.png" ContentType="image/png"/>
  <Override PartName="/word/media/rId31.png" ContentType="image/png"/>
  <Override PartName="/word/media/rId41.png" ContentType="image/png"/>
  <Override PartName="/word/media/rId38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Дискретно-событийное</w:t>
      </w:r>
      <w:r>
        <w:t xml:space="preserve"> </w:t>
      </w:r>
      <w:r>
        <w:t xml:space="preserve">моделирование</w:t>
      </w:r>
      <w:r>
        <w:t xml:space="preserve"> </w:t>
      </w:r>
      <w:r>
        <w:t xml:space="preserve">распространения</w:t>
      </w:r>
      <w:r>
        <w:t xml:space="preserve"> </w:t>
      </w:r>
      <w:r>
        <w:t xml:space="preserve">инфекции</w:t>
      </w:r>
      <w:r>
        <w:t xml:space="preserve"> </w:t>
      </w:r>
      <w:r>
        <w:t xml:space="preserve">(SIR-модель)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</w:t>
      </w:r>
    </w:p>
    <w:p>
      <w:pPr>
        <w:pStyle w:val="Date"/>
      </w:pPr>
      <w:r>
        <w:t xml:space="preserve">2026-05-30</w:t>
      </w:r>
    </w:p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p>
      <w:pPr>
        <w:pStyle w:val="Heading1"/>
      </w:pPr>
      <w:bookmarkStart w:id="21" w:name="задание"/>
      <w:r>
        <w:t xml:space="preserve">Задание</w:t>
      </w:r>
      <w:bookmarkEnd w:id="21"/>
    </w:p>
    <w:p>
      <w:pPr>
        <w:numPr>
          <w:ilvl w:val="0"/>
          <w:numId w:val="1001"/>
        </w:numPr>
      </w:pPr>
      <w:r>
        <w:t xml:space="preserve">Создать рабочий каталог для кода</w:t>
      </w:r>
    </w:p>
    <w:p>
      <w:pPr>
        <w:numPr>
          <w:ilvl w:val="0"/>
          <w:numId w:val="1001"/>
        </w:numPr>
      </w:pPr>
      <w:r>
        <w:t xml:space="preserve">Установить необходимые пакеты Julia</w:t>
      </w:r>
    </w:p>
    <w:p>
      <w:pPr>
        <w:numPr>
          <w:ilvl w:val="0"/>
          <w:numId w:val="1001"/>
        </w:numPr>
      </w:pPr>
      <w:r>
        <w:t xml:space="preserve">Выполнить предложенный код SIR-модели</w:t>
      </w:r>
    </w:p>
    <w:p>
      <w:pPr>
        <w:numPr>
          <w:ilvl w:val="0"/>
          <w:numId w:val="1001"/>
        </w:numPr>
      </w:pPr>
      <w:r>
        <w:t xml:space="preserve">Преобразовать код в литературный стиль (Literate.jl)</w:t>
      </w:r>
    </w:p>
    <w:p>
      <w:pPr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numPr>
          <w:ilvl w:val="1"/>
          <w:numId w:val="1002"/>
        </w:numPr>
        <w:pStyle w:val="Compact"/>
      </w:pPr>
      <w:r>
        <w:t xml:space="preserve">чистый код</w:t>
      </w:r>
    </w:p>
    <w:p>
      <w:pPr>
        <w:numPr>
          <w:ilvl w:val="1"/>
          <w:numId w:val="1002"/>
        </w:numPr>
        <w:pStyle w:val="Compact"/>
      </w:pPr>
      <w:r>
        <w:t xml:space="preserve">Jupyter notebook</w:t>
      </w:r>
    </w:p>
    <w:p>
      <w:pPr>
        <w:numPr>
          <w:ilvl w:val="1"/>
          <w:numId w:val="1002"/>
        </w:numPr>
        <w:pStyle w:val="Compact"/>
      </w:pPr>
      <w:r>
        <w:t xml:space="preserve">документацию в формате Quarto</w:t>
      </w:r>
    </w:p>
    <w:p>
      <w:pPr>
        <w:numPr>
          <w:ilvl w:val="0"/>
          <w:numId w:val="1001"/>
        </w:numPr>
      </w:pPr>
      <w:r>
        <w:t xml:space="preserve">Выполнить код из Jupyter notebook</w:t>
      </w:r>
    </w:p>
    <w:p>
      <w:pPr>
        <w:numPr>
          <w:ilvl w:val="0"/>
          <w:numId w:val="1001"/>
        </w:numPr>
      </w:pPr>
      <w:r>
        <w:t xml:space="preserve">Добавить в код вычисления для набора параметров (анализ чувствительности)</w:t>
      </w:r>
    </w:p>
    <w:p>
      <w:pPr>
        <w:numPr>
          <w:ilvl w:val="0"/>
          <w:numId w:val="1001"/>
        </w:numPr>
      </w:pPr>
      <w:r>
        <w:t xml:space="preserve">Сгенерировать обновленные файлы с параметрами</w:t>
      </w:r>
    </w:p>
    <w:p>
      <w:pPr>
        <w:numPr>
          <w:ilvl w:val="0"/>
          <w:numId w:val="1001"/>
        </w:numPr>
      </w:pPr>
      <w:r>
        <w:t xml:space="preserve">Интегрировать документацию Quarto в отчет</w:t>
      </w:r>
    </w:p>
    <w:p>
      <w:pPr>
        <w:pStyle w:val="Heading1"/>
      </w:pPr>
      <w:bookmarkStart w:id="22" w:name="теоретическое-введение"/>
      <w:r>
        <w:t xml:space="preserve">Теоретическое введение</w:t>
      </w:r>
      <w:bookmarkEnd w:id="22"/>
    </w:p>
    <w:p>
      <w:pPr>
        <w:pStyle w:val="Heading2"/>
      </w:pPr>
      <w:bookmarkStart w:id="23" w:name="дискретно-событийное-моделирование"/>
      <w:r>
        <w:t xml:space="preserve">Дискретно-событийное моделирование</w:t>
      </w:r>
      <w:bookmarkEnd w:id="23"/>
    </w:p>
    <w:p>
      <w:pPr>
        <w:pStyle w:val="FirstParagraph"/>
      </w:pPr>
      <w:r>
        <w:t xml:space="preserve">Дискретно-событийное моделирование (DES — Discrete Event Simulation) — подход к имитационному моделированию, при котором состояние системы изменяется только в дискретные моменты времени, соответствующие наступлению событий. В отличие от непрерывного моделирования, где время изменяется с фиксированным шагом, DES использует продвижение от события к событию, что позволяет эффективно моделировать системы с редкими изменениями состояния</w:t>
      </w:r>
      <w:r>
        <w:t xml:space="preserve"> </w:t>
      </w:r>
      <w:r>
        <w:t xml:space="preserve">.</w:t>
      </w:r>
    </w:p>
    <w:p>
      <w:pPr>
        <w:pStyle w:val="Heading2"/>
      </w:pPr>
      <w:bookmarkStart w:id="24" w:name="sir-модель-эпидемии"/>
      <w:r>
        <w:t xml:space="preserve">SIR-модель эпидемии</w:t>
      </w:r>
      <w:bookmarkEnd w:id="24"/>
    </w:p>
    <w:p>
      <w:pPr>
        <w:pStyle w:val="FirstParagraph"/>
      </w:pPr>
      <w:r>
        <w:t xml:space="preserve">SIR-модель является классической математической моделью эпидемиологии, описывающей распространение инфекционного заболевания в популяции</w:t>
      </w:r>
      <w:r>
        <w:t xml:space="preserve"> </w:t>
      </w:r>
      <w:r>
        <w:t xml:space="preserve">. Популяция разделяется на три группы: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 (Susceptible)</w:t>
      </w:r>
      <w:r>
        <w:t xml:space="preserve"> </w:t>
      </w:r>
      <w:r>
        <w:t xml:space="preserve">— восприимчивые к заболеванию индивиды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 (Infected)</w:t>
      </w:r>
      <w:r>
        <w:t xml:space="preserve"> </w:t>
      </w:r>
      <w:r>
        <w:t xml:space="preserve">— инфицированные и заразные индивиды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 (Recovered/Removed)</w:t>
      </w:r>
      <w:r>
        <w:t xml:space="preserve"> </w:t>
      </w:r>
      <w:r>
        <w:t xml:space="preserve">— переболевшие (или удаленные из популяции) индивиды</w:t>
      </w:r>
    </w:p>
    <w:p>
      <w:pPr>
        <w:pStyle w:val="Heading2"/>
      </w:pPr>
      <w:bookmarkStart w:id="25" w:name="стохастическая-sir-модель"/>
      <w:r>
        <w:t xml:space="preserve">Стохастическая SIR-модель</w:t>
      </w:r>
      <w:bookmarkEnd w:id="25"/>
    </w:p>
    <w:p>
      <w:pPr>
        <w:pStyle w:val="FirstParagraph"/>
      </w:pPr>
      <w:r>
        <w:t xml:space="preserve">В стохастической версии модели, реализованной в данной работе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Время между контактами распределено экспоненциально с параметром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(частота контактов)</w:t>
      </w:r>
    </w:p>
    <w:p>
      <w:pPr>
        <w:numPr>
          <w:ilvl w:val="0"/>
          <w:numId w:val="1004"/>
        </w:numPr>
        <w:pStyle w:val="Compact"/>
      </w:pPr>
      <w:r>
        <w:t xml:space="preserve">Вероятность заражения при контакте с инфицированным равна</w:t>
      </w:r>
      <w:r>
        <w:t xml:space="preserve"> </w:t>
      </w:r>
      <m:oMath>
        <m:r>
          <m:t>β</m:t>
        </m:r>
      </m:oMath>
    </w:p>
    <w:p>
      <w:pPr>
        <w:numPr>
          <w:ilvl w:val="0"/>
          <w:numId w:val="1004"/>
        </w:numPr>
        <w:pStyle w:val="Compact"/>
      </w:pPr>
      <w:r>
        <w:t xml:space="preserve">Время выздоровления распределено экспоненциально с параметром</w:t>
      </w:r>
      <w:r>
        <w:t xml:space="preserve"> </w:t>
      </w:r>
      <m:oMath>
        <m:r>
          <m:t>γ</m:t>
        </m:r>
      </m:oMath>
    </w:p>
    <w:p>
      <w:pPr>
        <w:pStyle w:val="Heading1"/>
      </w:pPr>
      <w:bookmarkStart w:id="26" w:name="выполнение-лабораторной-работы"/>
      <w:r>
        <w:t xml:space="preserve">Выполнение лабораторной работы</w:t>
      </w:r>
      <w:bookmarkEnd w:id="26"/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все, установив необходимые библиотеки (рис.1, рис.2)</w:t>
      </w:r>
    </w:p>
    <w:p>
      <w:pPr>
        <w:pStyle w:val="CaptionedFigure"/>
      </w:pPr>
      <w:bookmarkStart w:id="28" w:name="fig-001"/>
      <w:r>
        <w:drawing>
          <wp:inline>
            <wp:extent cx="5334000" cy="2298343"/>
            <wp:effectExtent b="0" l="0" r="0" t="0"/>
            <wp:docPr descr="Запуск кода" title="" id="1" name="Picture"/>
            <a:graphic>
              <a:graphicData uri="http://schemas.openxmlformats.org/drawingml/2006/picture">
                <pic:pic>
                  <pic:nvPicPr>
                    <pic:cNvPr descr="plot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Запуск кода</w:t>
      </w:r>
    </w:p>
    <w:p>
      <w:pPr>
        <w:pStyle w:val="CaptionedFigure"/>
      </w:pPr>
      <w:bookmarkStart w:id="30" w:name="fig-001"/>
      <w:r>
        <w:drawing>
          <wp:inline>
            <wp:extent cx="5334000" cy="2672760"/>
            <wp:effectExtent b="0" l="0" r="0" t="0"/>
            <wp:docPr descr="Запуск кода" title="" id="1" name="Picture"/>
            <a:graphic>
              <a:graphicData uri="http://schemas.openxmlformats.org/drawingml/2006/picture">
                <pic:pic>
                  <pic:nvPicPr>
                    <pic:cNvPr descr="plot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Запуск кода</w:t>
      </w:r>
    </w:p>
    <w:p>
      <w:pPr>
        <w:pStyle w:val="BodyText"/>
      </w:pPr>
      <w:r>
        <w:t xml:space="preserve">Далее создала литературный код для всех основныхх файлов. После скомпелировала чистый код, Jupyter Notebook и Quarto с помощью файла с кодом</w:t>
      </w:r>
      <w:r>
        <w:t xml:space="preserve"> </w:t>
      </w:r>
      <w:r>
        <w:t xml:space="preserve">‘</w:t>
      </w:r>
      <w:r>
        <w:t xml:space="preserve">tangle.jl</w:t>
      </w:r>
      <w:r>
        <w:t xml:space="preserve">’</w:t>
      </w:r>
      <w:r>
        <w:t xml:space="preserve"> </w:t>
      </w:r>
      <w:r>
        <w:t xml:space="preserve">(рис.3)</w:t>
      </w:r>
    </w:p>
    <w:p>
      <w:pPr>
        <w:pStyle w:val="CaptionedFigure"/>
      </w:pPr>
      <w:bookmarkStart w:id="32" w:name="fig-001"/>
      <w:r>
        <w:drawing>
          <wp:inline>
            <wp:extent cx="5334000" cy="2114015"/>
            <wp:effectExtent b="0" l="0" r="0" t="0"/>
            <wp:docPr descr="Компиляция sir_des.jl" title="" id="1" name="Picture"/>
            <a:graphic>
              <a:graphicData uri="http://schemas.openxmlformats.org/drawingml/2006/picture">
                <pic:pic>
                  <pic:nvPicPr>
                    <pic:cNvPr descr="plot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Компиляция sir_des.jl</w:t>
      </w:r>
    </w:p>
    <w:p>
      <w:pPr>
        <w:pStyle w:val="Heading2"/>
      </w:pPr>
      <w:bookmarkStart w:id="33" w:name="параметры-модели-по-умолчанию"/>
      <w:r>
        <w:t xml:space="preserve">Параметры модели по умолчанию</w:t>
      </w:r>
      <w:bookmarkEnd w:id="33"/>
    </w:p>
    <w:p>
      <w:pPr>
        <w:pStyle w:val="FirstParagraph"/>
      </w:pPr>
      <w:r>
        <w:t xml:space="preserve">tmax = 40.0</w:t>
      </w:r>
      <w:r>
        <w:t xml:space="preserve"> </w:t>
      </w:r>
      <w:r>
        <w:t xml:space="preserve">u0 = [990, 10, 0] # S, I, R</w:t>
      </w:r>
      <w:r>
        <w:t xml:space="preserve"> </w:t>
      </w:r>
      <w:r>
        <w:t xml:space="preserve">p_default = [0.05, 10.0, 0.25] # β, c, γ</w:t>
      </w:r>
    </w:p>
    <w:p>
      <w:pPr>
        <w:pStyle w:val="BodyText"/>
      </w:pPr>
      <w:r>
        <w:t xml:space="preserve">Random.seed!(1234)</w:t>
      </w:r>
    </w:p>
    <w:p>
      <w:pPr>
        <w:pStyle w:val="Heading2"/>
      </w:pPr>
      <w:bookmarkStart w:id="34" w:name="визуализация-базового-запуска"/>
      <w:r>
        <w:t xml:space="preserve">Визуализация базового запуска</w:t>
      </w:r>
      <w:bookmarkEnd w:id="34"/>
    </w:p>
    <w:p>
      <w:pPr>
        <w:pStyle w:val="FirstParagraph"/>
      </w:pPr>
      <w:r>
        <w:t xml:space="preserve">plot(data_des.t, [data_des.S data_des.I data_des.R],</w:t>
      </w:r>
      <w:r>
        <w:t xml:space="preserve"> </w:t>
      </w:r>
      <w:r>
        <w:t xml:space="preserve">labels=[</w:t>
      </w:r>
      <w:r>
        <w:t xml:space="preserve">“</w:t>
      </w:r>
      <w:r>
        <w:t xml:space="preserve">S</w:t>
      </w:r>
      <w:r>
        <w:t xml:space="preserve">”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],</w:t>
      </w:r>
      <w:r>
        <w:t xml:space="preserve"> </w:t>
      </w:r>
      <w:r>
        <w:t xml:space="preserve">xlabel=</w:t>
      </w:r>
      <w:r>
        <w:t xml:space="preserve">“</w:t>
      </w:r>
      <w:r>
        <w:t xml:space="preserve">Время</w:t>
      </w:r>
      <w:r>
        <w:t xml:space="preserve">”</w:t>
      </w:r>
      <w:r>
        <w:t xml:space="preserve">, ylabel=</w:t>
      </w:r>
      <w:r>
        <w:t xml:space="preserve">“</w:t>
      </w:r>
      <w:r>
        <w:t xml:space="preserve">Численность</w:t>
      </w:r>
      <w:r>
        <w:t xml:space="preserve">”</w:t>
      </w:r>
      <w:r>
        <w:t xml:space="preserve">,</w:t>
      </w:r>
      <w:r>
        <w:t xml:space="preserve"> </w:t>
      </w:r>
      <w:r>
        <w:t xml:space="preserve">title=</w:t>
      </w:r>
      <w:r>
        <w:t xml:space="preserve">“</w:t>
      </w:r>
      <w:r>
        <w:t xml:space="preserve">Дискретно-событийная SIR модель (β=0.05, c=10.0, γ=0.25)</w:t>
      </w:r>
      <w:r>
        <w:t xml:space="preserve">”</w:t>
      </w:r>
      <w:r>
        <w:t xml:space="preserve">,</w:t>
      </w:r>
      <w:r>
        <w:t xml:space="preserve"> </w:t>
      </w:r>
      <w:r>
        <w:t xml:space="preserve">linewidth=2)</w:t>
      </w:r>
      <w:r>
        <w:t xml:space="preserve"> </w:t>
      </w:r>
      <w:r>
        <w:t xml:space="preserve">savefig(plotsdir(</w:t>
      </w:r>
      <w:r>
        <w:t xml:space="preserve">“</w:t>
      </w:r>
      <w:r>
        <w:t xml:space="preserve">sir_des.png</w:t>
      </w:r>
      <w:r>
        <w:t xml:space="preserve">”</w:t>
      </w:r>
      <w:r>
        <w:t xml:space="preserve">))</w:t>
      </w:r>
    </w:p>
    <w:p>
      <w:pPr>
        <w:pStyle w:val="CaptionedFigure"/>
      </w:pPr>
      <w:bookmarkStart w:id="36" w:name="fig-001"/>
      <w:r>
        <w:drawing>
          <wp:inline>
            <wp:extent cx="5334000" cy="3556000"/>
            <wp:effectExtent b="0" l="0" r="0" t="0"/>
            <wp:docPr descr="Визуализация" title="" id="1" name="Picture"/>
            <a:graphic>
              <a:graphicData uri="http://schemas.openxmlformats.org/drawingml/2006/picture">
                <pic:pic>
                  <pic:nvPicPr>
                    <pic:cNvPr descr="plots/sir_d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Визуализация</w:t>
      </w:r>
    </w:p>
    <w:p>
      <w:pPr>
        <w:pStyle w:val="Heading3"/>
      </w:pPr>
      <w:bookmarkStart w:id="37" w:name="анализ-чувствительности-к-параметрам"/>
      <w:r>
        <w:t xml:space="preserve">Анализ чувствительности к параметрам</w:t>
      </w:r>
      <w:bookmarkEnd w:id="37"/>
    </w:p>
    <w:p>
      <w:pPr>
        <w:pStyle w:val="FirstParagraph"/>
      </w:pPr>
      <w:r>
        <w:t xml:space="preserve">Варьирование β (вероятность заражения)</w:t>
      </w:r>
    </w:p>
    <w:p>
      <w:pPr>
        <w:pStyle w:val="BodyText"/>
      </w:pPr>
      <w:r>
        <w:t xml:space="preserve">Результаты: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 инфицированных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пика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Итоговые переболевшие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p>
            <w:pPr>
              <w:pStyle w:val="Compact"/>
              <w:jc w:val="left"/>
            </w:pPr>
            <w:r>
              <w:t xml:space="preserve">623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p>
            <w:pPr>
              <w:pStyle w:val="Compact"/>
              <w:jc w:val="left"/>
            </w:pPr>
            <w:r>
              <w:t xml:space="preserve">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p>
            <w:pPr>
              <w:pStyle w:val="Compact"/>
              <w:jc w:val="left"/>
            </w:pPr>
            <w:r>
              <w:t xml:space="preserve">823</w:t>
            </w:r>
          </w:p>
        </w:tc>
      </w:tr>
    </w:tbl>
    <w:p>
      <w:pPr>
        <w:pStyle w:val="BodyText"/>
      </w:pPr>
      <w:r>
        <w:t xml:space="preserve">Варьирование c (частота контактов)</w:t>
      </w:r>
    </w:p>
    <w:p>
      <w:pPr>
        <w:pStyle w:val="BodyText"/>
      </w:pPr>
      <w:r>
        <w:t xml:space="preserve">Результаты: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 инфицированных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пика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Итоговые переболевшие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p>
            <w:pPr>
              <w:pStyle w:val="Compact"/>
              <w:jc w:val="left"/>
            </w:pPr>
            <w:r>
              <w:t xml:space="preserve">645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p>
            <w:pPr>
              <w:pStyle w:val="Compact"/>
              <w:jc w:val="left"/>
            </w:pPr>
            <w:r>
              <w:t xml:space="preserve">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p>
            <w:pPr>
              <w:pStyle w:val="Compact"/>
              <w:jc w:val="left"/>
            </w:pPr>
            <w:r>
              <w:t xml:space="preserve">812</w:t>
            </w:r>
          </w:p>
        </w:tc>
      </w:tr>
    </w:tbl>
    <w:p>
      <w:pPr>
        <w:pStyle w:val="BodyText"/>
      </w:pPr>
      <w:r>
        <w:t xml:space="preserve">Варьирование γ (интенсивность выздоровления)</w:t>
      </w:r>
    </w:p>
    <w:p>
      <w:pPr>
        <w:pStyle w:val="BodyText"/>
      </w:pPr>
      <w:r>
        <w:t xml:space="preserve">Результаты: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 инфицированных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пика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Итоговые переболевшие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21.4</w:t>
            </w:r>
          </w:p>
        </w:tc>
        <w:tc>
          <w:p>
            <w:pPr>
              <w:pStyle w:val="Compact"/>
              <w:jc w:val="left"/>
            </w:pPr>
            <w:r>
              <w:t xml:space="preserve">845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p>
            <w:pPr>
              <w:pStyle w:val="Compact"/>
              <w:jc w:val="left"/>
            </w:pPr>
            <w:r>
              <w:t xml:space="preserve">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p>
            <w:pPr>
              <w:pStyle w:val="Compact"/>
              <w:jc w:val="left"/>
            </w:pPr>
            <w:r>
              <w:t xml:space="preserve">623</w:t>
            </w:r>
          </w:p>
        </w:tc>
      </w:tr>
    </w:tbl>
    <w:p>
      <w:pPr>
        <w:pStyle w:val="CaptionedFigure"/>
      </w:pPr>
      <w:bookmarkStart w:id="39" w:name="fig-001"/>
      <w:r>
        <w:drawing>
          <wp:inline>
            <wp:extent cx="5334000" cy="2370666"/>
            <wp:effectExtent b="0" l="0" r="0" t="0"/>
            <wp:docPr descr="Визуализация" title="" id="1" name="Picture"/>
            <a:graphic>
              <a:graphicData uri="http://schemas.openxmlformats.org/drawingml/2006/picture">
                <pic:pic>
                  <pic:nvPicPr>
                    <pic:cNvPr descr="plots/sensitivity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Визуализация</w:t>
      </w:r>
    </w:p>
    <w:p>
      <w:pPr>
        <w:pStyle w:val="Heading2"/>
      </w:pPr>
      <w:bookmarkStart w:id="40" w:name="X65781a88e318eada32bbc144f8caa3688785139"/>
      <w:r>
        <w:t xml:space="preserve">Сравнение стохастической и детерминированной версий</w:t>
      </w:r>
      <w:bookmarkEnd w:id="40"/>
    </w:p>
    <w:p>
      <w:pPr>
        <w:pStyle w:val="CaptionedFigure"/>
      </w:pPr>
      <w:bookmarkStart w:id="42" w:name="fig-001"/>
      <w:r>
        <w:drawing>
          <wp:inline>
            <wp:extent cx="5334000" cy="3556000"/>
            <wp:effectExtent b="0" l="0" r="0" t="0"/>
            <wp:docPr descr="Сравнение" title="" id="1" name="Picture"/>
            <a:graphic>
              <a:graphicData uri="http://schemas.openxmlformats.org/drawingml/2006/picture">
                <pic:pic>
                  <pic:nvPicPr>
                    <pic:cNvPr descr="plots/recovery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Сравнение</w:t>
      </w:r>
    </w:p>
    <w:p>
      <w:pPr>
        <w:pStyle w:val="Heading2"/>
      </w:pPr>
      <w:bookmarkStart w:id="43" w:name="оценка-производительности"/>
      <w:r>
        <w:t xml:space="preserve">Оценка производительности</w:t>
      </w:r>
      <w:bookmarkEnd w:id="43"/>
    </w:p>
    <w:p>
      <w:pPr>
        <w:pStyle w:val="Heading3"/>
      </w:pPr>
      <w:bookmarkStart w:id="44" w:name="результаты-производительности"/>
      <w:r>
        <w:t xml:space="preserve">Результаты производительности:</w:t>
      </w:r>
      <w:bookmarkEnd w:id="44"/>
    </w:p>
    <w:p>
      <w:pPr>
        <w:pStyle w:val="FirstParagraph"/>
      </w:pPr>
      <w:r>
        <w:t xml:space="preserve">Среднее время симуляции для 10000 индивидов: ~0.02 секунды</w:t>
      </w:r>
    </w:p>
    <w:p>
      <w:pPr>
        <w:pStyle w:val="BodyText"/>
      </w:pPr>
      <w:r>
        <w:t xml:space="preserve">Создание модели: ~0.015 секунды</w:t>
      </w:r>
    </w:p>
    <w:p>
      <w:pPr>
        <w:pStyle w:val="Heading2"/>
      </w:pPr>
      <w:bookmarkStart w:id="45" w:name="итоговая-статистика"/>
      <w:r>
        <w:t xml:space="preserve">Итоговая статистика</w:t>
      </w:r>
      <w:bookmarkEnd w:id="45"/>
    </w:p>
    <w:p>
      <w:pPr>
        <w:pStyle w:val="FirstParagraph"/>
      </w:pPr>
      <w:r>
        <w:t xml:space="preserve">ИТОГОВАЯ СТАТИСТИКА</w:t>
      </w:r>
    </w:p>
    <w:p>
      <w:pPr>
        <w:numPr>
          <w:ilvl w:val="0"/>
          <w:numId w:val="1005"/>
        </w:numPr>
        <w:pStyle w:val="Compact"/>
      </w:pPr>
      <w:r>
        <w:t xml:space="preserve">Начальные условия: S₀=990, I₀=10, R₀=0</w:t>
      </w:r>
    </w:p>
    <w:p>
      <w:pPr>
        <w:numPr>
          <w:ilvl w:val="0"/>
          <w:numId w:val="1005"/>
        </w:numPr>
        <w:pStyle w:val="Compact"/>
      </w:pPr>
      <w:r>
        <w:t xml:space="preserve">Параметры: β=0.05, c=10.0, γ=0.25</w:t>
      </w:r>
    </w:p>
    <w:p>
      <w:pPr>
        <w:numPr>
          <w:ilvl w:val="0"/>
          <w:numId w:val="1005"/>
        </w:numPr>
        <w:pStyle w:val="Compact"/>
      </w:pPr>
      <w:r>
        <w:t xml:space="preserve">R₀ = β·c/γ = 2.0</w:t>
      </w:r>
    </w:p>
    <w:p>
      <w:pPr>
        <w:numPr>
          <w:ilvl w:val="0"/>
          <w:numId w:val="1005"/>
        </w:numPr>
        <w:pStyle w:val="Compact"/>
      </w:pPr>
      <w:r>
        <w:t xml:space="preserve">Конечная численность: S=226, I=23, R=751</w:t>
      </w:r>
    </w:p>
    <w:p>
      <w:pPr>
        <w:numPr>
          <w:ilvl w:val="0"/>
          <w:numId w:val="1005"/>
        </w:numPr>
        <w:pStyle w:val="Compact"/>
      </w:pPr>
      <w:r>
        <w:t xml:space="preserve">Максимальное число инфицированных: 174</w:t>
      </w:r>
    </w:p>
    <w:p>
      <w:pPr>
        <w:numPr>
          <w:ilvl w:val="0"/>
          <w:numId w:val="1005"/>
        </w:numPr>
        <w:pStyle w:val="Compact"/>
      </w:pPr>
      <w:r>
        <w:t xml:space="preserve">Время пика: 17.87</w:t>
      </w:r>
    </w:p>
    <w:p>
      <w:pPr>
        <w:numPr>
          <w:ilvl w:val="0"/>
          <w:numId w:val="1005"/>
        </w:numPr>
        <w:pStyle w:val="Compact"/>
      </w:pPr>
      <w:r>
        <w:t xml:space="preserve">Общая доля переболевших: 75.1%</w:t>
      </w:r>
    </w:p>
    <w:p>
      <w:pPr>
        <w:pStyle w:val="Heading1"/>
      </w:pPr>
      <w:bookmarkStart w:id="46" w:name="вывод"/>
      <w:r>
        <w:t xml:space="preserve">Вывод</w:t>
      </w:r>
      <w:bookmarkEnd w:id="46"/>
    </w:p>
    <w:p>
      <w:pPr>
        <w:pStyle w:val="FirstParagraph"/>
      </w:pPr>
      <w:r>
        <w:t xml:space="preserve">В результате работы реализована дискретно-событийная SIR-модель на Julia. Проведён анализ чувствительности к параметрам β, c, γ, сравнение стохастической и детерминированной версий, оценка производительности. Модель работоспособна и пригодна для имитации эпидемиологических процессов.</w:t>
      </w:r>
    </w:p>
    <w:p>
      <w:pPr>
        <w:pStyle w:val="BodyText"/>
      </w:pPr>
      <w:r>
        <w:t xml:space="preserve">Основные результаты:</w:t>
      </w:r>
    </w:p>
    <w:p>
      <w:pPr>
        <w:numPr>
          <w:ilvl w:val="0"/>
          <w:numId w:val="1006"/>
        </w:numPr>
        <w:pStyle w:val="Compact"/>
      </w:pPr>
      <w:r>
        <w:t xml:space="preserve">При R₀ = 2.0 эпидемия охватывает ~75% популяции</w:t>
      </w:r>
    </w:p>
    <w:p>
      <w:pPr>
        <w:numPr>
          <w:ilvl w:val="0"/>
          <w:numId w:val="1006"/>
        </w:numPr>
        <w:pStyle w:val="Compact"/>
      </w:pPr>
      <w:r>
        <w:t xml:space="preserve">Пик инфицированных (174 человека) достигается к 18-му дню</w:t>
      </w:r>
    </w:p>
    <w:p>
      <w:pPr>
        <w:numPr>
          <w:ilvl w:val="0"/>
          <w:numId w:val="1006"/>
        </w:numPr>
        <w:pStyle w:val="Compact"/>
      </w:pPr>
      <w:r>
        <w:t xml:space="preserve">Стохастическая версия дает более реалистичные флуктуации</w:t>
      </w:r>
    </w:p>
    <w:p>
      <w:pPr>
        <w:numPr>
          <w:ilvl w:val="0"/>
          <w:numId w:val="1006"/>
        </w:numPr>
        <w:pStyle w:val="Compact"/>
      </w:pPr>
      <w:r>
        <w:t xml:space="preserve">Детерминированная версия — более гладкую кривую</w:t>
      </w:r>
    </w:p>
    <w:p>
      <w:pPr>
        <w:numPr>
          <w:ilvl w:val="0"/>
          <w:numId w:val="1006"/>
        </w:numPr>
        <w:pStyle w:val="Compact"/>
      </w:pPr>
      <w:r>
        <w:t xml:space="preserve">Увеличение β и c усиливает эпидемию, увеличение γ — ослабляет</w:t>
      </w:r>
    </w:p>
    <w:p>
      <w:pPr>
        <w:pStyle w:val="Heading1"/>
      </w:pPr>
      <w:bookmarkStart w:id="47" w:name="список-литературы"/>
      <w:r>
        <w:t xml:space="preserve">Список литературы</w:t>
      </w:r>
      <w:bookmarkEnd w:id="47"/>
    </w:p>
    <w:p>
      <w:pPr>
        <w:numPr>
          <w:ilvl w:val="0"/>
          <w:numId w:val="1007"/>
        </w:numPr>
        <w:pStyle w:val="Compact"/>
      </w:pPr>
      <w:hyperlink r:id="rId48">
        <w:r>
          <w:rPr>
            <w:rStyle w:val="Hyperlink"/>
          </w:rPr>
          <w:t xml:space="preserve">Лабораторная №7</w:t>
        </w:r>
      </w:hyperlink>
    </w:p>
    <w:bookmarkStart w:id="49" w:name="refs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hyperlink" Id="rId48" Target="https://esystem.rudn.ru/pluginfile.php/3094247/mod_resource/content/3/simulation-modeling-lab.pdf#chapter.7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8" Target="https://esystem.rudn.ru/pluginfile.php/3094247/mod_resource/content/3/simulation-modeling-lab.pdf#chapter.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Еремина Оксана Андреевна</dc:creator>
  <cp:keywords/>
  <dcterms:created xsi:type="dcterms:W3CDTF">2026-05-30T17:43:26Z</dcterms:created>
  <dcterms:modified xsi:type="dcterms:W3CDTF">2026-05-30T17:43:26Z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2026-05-30</vt:lpwstr>
  </property>
  <property fmtid="{D5CDD505-2E9C-101B-9397-08002B2CF9AE}" pid="3" name="license">
    <vt:lpwstr>CC BY</vt:lpwstr>
  </property>
  <property fmtid="{D5CDD505-2E9C-101B-9397-08002B2CF9AE}" pid="4" name="subtitle">
    <vt:lpwstr>Дискретно-событийное моделирование распространения инфекции (SIR-модель)</vt:lpwstr>
  </property>
</Properties>
</file>