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informe-profesional"/>
    <w:p>
      <w:pPr>
        <w:pStyle w:val="Heading1"/>
      </w:pPr>
      <w:r>
        <w:t xml:space="preserve">Informe profesional</w:t>
      </w:r>
    </w:p>
    <w:bookmarkStart w:id="22" w:name="X8acf19ba6369f965cb29f4682f2a3491cc4e2ae"/>
    <w:p>
      <w:pPr>
        <w:pStyle w:val="Heading2"/>
      </w:pPr>
      <w:r>
        <w:t xml:space="preserve">Sistema de geoposicionamiento y control para tubos/cilindros de gas de soldadura</w:t>
      </w:r>
    </w:p>
    <w:bookmarkStart w:id="20" w:name="dirigido-a-dirección-de-la-empresa"/>
    <w:p>
      <w:pPr>
        <w:pStyle w:val="Heading3"/>
      </w:pPr>
      <w:r>
        <w:t xml:space="preserve">Dirigido a: Dirección de la Empresa</w:t>
      </w:r>
    </w:p>
    <w:bookmarkEnd w:id="20"/>
    <w:bookmarkStart w:id="21" w:name="X9b4eef3cb3b32f0c0fdf439dca293b66f7ca2e1"/>
    <w:p>
      <w:pPr>
        <w:pStyle w:val="Heading3"/>
      </w:pPr>
      <w:r>
        <w:t xml:space="preserve">Objetivo: Evaluar alternativas tecnológicas para localizar, controlar y proteger cilindros de gas utilizados en procesos de soldadura.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Actualmente existen soluciones tecnológicas viables para</w:t>
      </w:r>
      <w:r>
        <w:t xml:space="preserve"> </w:t>
      </w:r>
      <w:r>
        <w:rPr>
          <w:bCs/>
          <w:b/>
        </w:rPr>
        <w:t xml:space="preserve">geoposicionar, identificar, controlar y proteger cilindros de gas para soldadura</w:t>
      </w:r>
      <w:r>
        <w:t xml:space="preserve">, tales como tubos de oxígeno, acetileno, argón, CO₂, mezclas MIG/MAG, propano u otros gases industriales.</w:t>
      </w:r>
    </w:p>
    <w:p>
      <w:pPr>
        <w:pStyle w:val="BodyText"/>
      </w:pPr>
      <w:r>
        <w:t xml:space="preserve">Estas soluciones pueden implementarse mediante dispositivos externos como:</w:t>
      </w:r>
    </w:p>
    <w:p>
      <w:pPr>
        <w:numPr>
          <w:ilvl w:val="0"/>
          <w:numId w:val="1001"/>
        </w:numPr>
        <w:pStyle w:val="Compact"/>
      </w:pPr>
      <w:r>
        <w:t xml:space="preserve">Rastreadores GPS.</w:t>
      </w:r>
    </w:p>
    <w:p>
      <w:pPr>
        <w:numPr>
          <w:ilvl w:val="0"/>
          <w:numId w:val="1001"/>
        </w:numPr>
        <w:pStyle w:val="Compact"/>
      </w:pPr>
      <w:r>
        <w:t xml:space="preserve">Etiquetas RFID/NFC.</w:t>
      </w:r>
    </w:p>
    <w:p>
      <w:pPr>
        <w:numPr>
          <w:ilvl w:val="0"/>
          <w:numId w:val="1001"/>
        </w:numPr>
        <w:pStyle w:val="Compact"/>
      </w:pPr>
      <w:r>
        <w:t xml:space="preserve">Beacons Bluetooth.</w:t>
      </w:r>
    </w:p>
    <w:p>
      <w:pPr>
        <w:numPr>
          <w:ilvl w:val="0"/>
          <w:numId w:val="1001"/>
        </w:numPr>
        <w:pStyle w:val="Compact"/>
      </w:pPr>
      <w:r>
        <w:t xml:space="preserve">Sensores IoT.</w:t>
      </w:r>
    </w:p>
    <w:p>
      <w:pPr>
        <w:numPr>
          <w:ilvl w:val="0"/>
          <w:numId w:val="1001"/>
        </w:numPr>
        <w:pStyle w:val="Compact"/>
      </w:pPr>
      <w:r>
        <w:t xml:space="preserve">Candados electrónicos.</w:t>
      </w:r>
    </w:p>
    <w:p>
      <w:pPr>
        <w:numPr>
          <w:ilvl w:val="0"/>
          <w:numId w:val="1001"/>
        </w:numPr>
        <w:pStyle w:val="Compact"/>
      </w:pPr>
      <w:r>
        <w:t xml:space="preserve">Sistemas de bloqueo de válvula.</w:t>
      </w:r>
    </w:p>
    <w:p>
      <w:pPr>
        <w:numPr>
          <w:ilvl w:val="0"/>
          <w:numId w:val="1001"/>
        </w:numPr>
        <w:pStyle w:val="Compact"/>
      </w:pPr>
      <w:r>
        <w:t xml:space="preserve">Válvulas de corte instaladas en la línea de gas, después del regulador.</w:t>
      </w:r>
    </w:p>
    <w:p>
      <w:pPr>
        <w:pStyle w:val="FirstParagraph"/>
      </w:pPr>
      <w:r>
        <w:t xml:space="preserve">Es importante destacar que</w:t>
      </w:r>
      <w:r>
        <w:t xml:space="preserve"> </w:t>
      </w:r>
      <w:r>
        <w:rPr>
          <w:bCs/>
          <w:b/>
        </w:rPr>
        <w:t xml:space="preserve">no se recomienda modificar estructuralmente el cilindro ni intervenir su válvula original</w:t>
      </w:r>
      <w:r>
        <w:t xml:space="preserve">, ya que se trata de recipientes presurizados sujetos a normativa técnica y de seguridad.</w:t>
      </w:r>
    </w:p>
    <w:p>
      <w:pPr>
        <w:pStyle w:val="BodyText"/>
      </w:pPr>
      <w:r>
        <w:t xml:space="preserve">La solución más segura y recomendable es implementar un sistema externo de control compuesto por: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Tracker GPS o IoT</w:t>
      </w:r>
      <w:r>
        <w:t xml:space="preserve"> </w:t>
      </w:r>
      <w:r>
        <w:t xml:space="preserve">para localización.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Identificación RFID/NFC</w:t>
      </w:r>
      <w:r>
        <w:t xml:space="preserve"> </w:t>
      </w:r>
      <w:r>
        <w:t xml:space="preserve">para inventario.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Alertas por movimiento y geocercas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Bloqueo físico de válvula</w:t>
      </w:r>
      <w:r>
        <w:t xml:space="preserve"> </w:t>
      </w:r>
      <w:r>
        <w:t xml:space="preserve">para evitar uso no autorizado.</w:t>
      </w:r>
    </w:p>
    <w:p>
      <w:pPr>
        <w:numPr>
          <w:ilvl w:val="0"/>
          <w:numId w:val="1002"/>
        </w:numPr>
        <w:pStyle w:val="Compact"/>
      </w:pPr>
      <w:r>
        <w:t xml:space="preserve">En caso necesario,</w:t>
      </w:r>
      <w:r>
        <w:t xml:space="preserve"> </w:t>
      </w:r>
      <w:r>
        <w:rPr>
          <w:bCs/>
          <w:b/>
        </w:rPr>
        <w:t xml:space="preserve">válvula certificada de corte instalada después del regulador</w:t>
      </w:r>
      <w:r>
        <w:t xml:space="preserve">, nunca directamente sobre el cilindro.</w:t>
      </w:r>
    </w:p>
    <w:p>
      <w:r>
        <w:pict>
          <v:rect style="width:0;height:1.5pt" o:hralign="center" o:hrstd="t" o:hr="t"/>
        </w:pict>
      </w:r>
    </w:p>
    <w:bookmarkEnd w:id="23"/>
    <w:bookmarkStart w:id="24" w:name="contexto-y-necesidad"/>
    <w:p>
      <w:pPr>
        <w:pStyle w:val="Heading2"/>
      </w:pPr>
      <w:r>
        <w:t xml:space="preserve">2. Contexto y necesidad</w:t>
      </w:r>
    </w:p>
    <w:p>
      <w:pPr>
        <w:pStyle w:val="FirstParagraph"/>
      </w:pPr>
      <w:r>
        <w:t xml:space="preserve">Los cilindros de gas de soldadura representan activos críticos para la operación. Además de su valor económico, tienen implicancias relevantes en materia de:</w:t>
      </w:r>
    </w:p>
    <w:p>
      <w:pPr>
        <w:numPr>
          <w:ilvl w:val="0"/>
          <w:numId w:val="1003"/>
        </w:numPr>
        <w:pStyle w:val="Compact"/>
      </w:pPr>
      <w:r>
        <w:t xml:space="preserve">Seguridad industrial.</w:t>
      </w:r>
    </w:p>
    <w:p>
      <w:pPr>
        <w:numPr>
          <w:ilvl w:val="0"/>
          <w:numId w:val="1003"/>
        </w:numPr>
        <w:pStyle w:val="Compact"/>
      </w:pPr>
      <w:r>
        <w:t xml:space="preserve">Control de inventario.</w:t>
      </w:r>
    </w:p>
    <w:p>
      <w:pPr>
        <w:numPr>
          <w:ilvl w:val="0"/>
          <w:numId w:val="1003"/>
        </w:numPr>
        <w:pStyle w:val="Compact"/>
      </w:pPr>
      <w:r>
        <w:t xml:space="preserve">Prevención de pérdidas o robos.</w:t>
      </w:r>
    </w:p>
    <w:p>
      <w:pPr>
        <w:numPr>
          <w:ilvl w:val="0"/>
          <w:numId w:val="1003"/>
        </w:numPr>
        <w:pStyle w:val="Compact"/>
      </w:pPr>
      <w:r>
        <w:t xml:space="preserve">Trazabilidad de activos.</w:t>
      </w:r>
    </w:p>
    <w:p>
      <w:pPr>
        <w:numPr>
          <w:ilvl w:val="0"/>
          <w:numId w:val="1003"/>
        </w:numPr>
        <w:pStyle w:val="Compact"/>
      </w:pPr>
      <w:r>
        <w:t xml:space="preserve">Responsabilidad legal y operativa.</w:t>
      </w:r>
    </w:p>
    <w:p>
      <w:pPr>
        <w:numPr>
          <w:ilvl w:val="0"/>
          <w:numId w:val="1003"/>
        </w:numPr>
        <w:pStyle w:val="Compact"/>
      </w:pPr>
      <w:r>
        <w:t xml:space="preserve">Disponibilidad para producción.</w:t>
      </w:r>
    </w:p>
    <w:p>
      <w:pPr>
        <w:numPr>
          <w:ilvl w:val="0"/>
          <w:numId w:val="1003"/>
        </w:numPr>
        <w:pStyle w:val="Compact"/>
      </w:pPr>
      <w:r>
        <w:t xml:space="preserve">Control de uso por área, obra o usuario.</w:t>
      </w:r>
    </w:p>
    <w:p>
      <w:pPr>
        <w:pStyle w:val="FirstParagraph"/>
      </w:pPr>
      <w:r>
        <w:t xml:space="preserve">En muchas empresas, estos cilindros circulan entre talleres, depósitos, obras, vehículos y contratistas, lo que dificulta conocer en tiempo real:</w:t>
      </w:r>
    </w:p>
    <w:p>
      <w:pPr>
        <w:numPr>
          <w:ilvl w:val="0"/>
          <w:numId w:val="1004"/>
        </w:numPr>
        <w:pStyle w:val="Compact"/>
      </w:pPr>
      <w:r>
        <w:t xml:space="preserve">Dónde se encuentra cada cilindro.</w:t>
      </w:r>
    </w:p>
    <w:p>
      <w:pPr>
        <w:numPr>
          <w:ilvl w:val="0"/>
          <w:numId w:val="1004"/>
        </w:numPr>
        <w:pStyle w:val="Compact"/>
      </w:pPr>
      <w:r>
        <w:t xml:space="preserve">Quién lo retiró.</w:t>
      </w:r>
    </w:p>
    <w:p>
      <w:pPr>
        <w:numPr>
          <w:ilvl w:val="0"/>
          <w:numId w:val="1004"/>
        </w:numPr>
        <w:pStyle w:val="Compact"/>
      </w:pPr>
      <w:r>
        <w:t xml:space="preserve">Cuándo fue utilizado.</w:t>
      </w:r>
    </w:p>
    <w:p>
      <w:pPr>
        <w:numPr>
          <w:ilvl w:val="0"/>
          <w:numId w:val="1004"/>
        </w:numPr>
        <w:pStyle w:val="Compact"/>
      </w:pPr>
      <w:r>
        <w:t xml:space="preserve">Si salió de una zona autorizada.</w:t>
      </w:r>
    </w:p>
    <w:p>
      <w:pPr>
        <w:numPr>
          <w:ilvl w:val="0"/>
          <w:numId w:val="1004"/>
        </w:numPr>
        <w:pStyle w:val="Compact"/>
      </w:pPr>
      <w:r>
        <w:t xml:space="preserve">Si fue manipulado fuera de horario.</w:t>
      </w:r>
    </w:p>
    <w:p>
      <w:pPr>
        <w:numPr>
          <w:ilvl w:val="0"/>
          <w:numId w:val="1004"/>
        </w:numPr>
        <w:pStyle w:val="Compact"/>
      </w:pPr>
      <w:r>
        <w:t xml:space="preserve">Si está en uso, en tránsito o almacenado.</w:t>
      </w:r>
    </w:p>
    <w:p>
      <w:pPr>
        <w:pStyle w:val="FirstParagraph"/>
      </w:pPr>
      <w:r>
        <w:t xml:space="preserve">Por estos motivos, resulta conveniente evaluar un sistema de control y localización adaptado al entorno industrial.</w:t>
      </w:r>
    </w:p>
    <w:p>
      <w:r>
        <w:pict>
          <v:rect style="width:0;height:1.5pt" o:hralign="center" o:hrstd="t" o:hr="t"/>
        </w:pict>
      </w:r>
    </w:p>
    <w:bookmarkEnd w:id="24"/>
    <w:bookmarkStart w:id="29" w:name="objetivos-del-sistema-propuesto"/>
    <w:p>
      <w:pPr>
        <w:pStyle w:val="Heading2"/>
      </w:pPr>
      <w:r>
        <w:t xml:space="preserve">3. Objetivos del sistema propuesto</w:t>
      </w:r>
    </w:p>
    <w:p>
      <w:pPr>
        <w:pStyle w:val="FirstParagraph"/>
      </w:pPr>
      <w:r>
        <w:t xml:space="preserve">El sistema debe permitir:</w:t>
      </w:r>
    </w:p>
    <w:bookmarkStart w:id="25" w:name="localización"/>
    <w:p>
      <w:pPr>
        <w:pStyle w:val="Heading3"/>
      </w:pPr>
      <w:r>
        <w:t xml:space="preserve">3.1. Localización</w:t>
      </w:r>
    </w:p>
    <w:p>
      <w:pPr>
        <w:numPr>
          <w:ilvl w:val="0"/>
          <w:numId w:val="1005"/>
        </w:numPr>
        <w:pStyle w:val="Compact"/>
      </w:pPr>
      <w:r>
        <w:t xml:space="preserve">Conocer la ubicación de cada cilindro.</w:t>
      </w:r>
    </w:p>
    <w:p>
      <w:pPr>
        <w:numPr>
          <w:ilvl w:val="0"/>
          <w:numId w:val="1005"/>
        </w:numPr>
        <w:pStyle w:val="Compact"/>
      </w:pPr>
      <w:r>
        <w:t xml:space="preserve">Registrar movimientos.</w:t>
      </w:r>
    </w:p>
    <w:p>
      <w:pPr>
        <w:numPr>
          <w:ilvl w:val="0"/>
          <w:numId w:val="1005"/>
        </w:numPr>
        <w:pStyle w:val="Compact"/>
      </w:pPr>
      <w:r>
        <w:t xml:space="preserve">Detectar salidas no autorizadas.</w:t>
      </w:r>
    </w:p>
    <w:p>
      <w:pPr>
        <w:numPr>
          <w:ilvl w:val="0"/>
          <w:numId w:val="1005"/>
        </w:numPr>
        <w:pStyle w:val="Compact"/>
      </w:pPr>
      <w:r>
        <w:t xml:space="preserve">Configurar geocercas por taller, almacén, planta u obra.</w:t>
      </w:r>
    </w:p>
    <w:bookmarkEnd w:id="25"/>
    <w:bookmarkStart w:id="26" w:name="control-operativo"/>
    <w:p>
      <w:pPr>
        <w:pStyle w:val="Heading3"/>
      </w:pPr>
      <w:r>
        <w:t xml:space="preserve">3.2. Control operativo</w:t>
      </w:r>
    </w:p>
    <w:p>
      <w:pPr>
        <w:numPr>
          <w:ilvl w:val="0"/>
          <w:numId w:val="1006"/>
        </w:numPr>
        <w:pStyle w:val="Compact"/>
      </w:pPr>
      <w:r>
        <w:t xml:space="preserve">Asignar cilindros a usuarios, áreas o proyectos.</w:t>
      </w:r>
    </w:p>
    <w:p>
      <w:pPr>
        <w:numPr>
          <w:ilvl w:val="0"/>
          <w:numId w:val="1006"/>
        </w:numPr>
        <w:pStyle w:val="Compact"/>
      </w:pPr>
      <w:r>
        <w:t xml:space="preserve">Registrar entradas y salidas.</w:t>
      </w:r>
    </w:p>
    <w:p>
      <w:pPr>
        <w:numPr>
          <w:ilvl w:val="0"/>
          <w:numId w:val="1006"/>
        </w:numPr>
        <w:pStyle w:val="Compact"/>
      </w:pPr>
      <w:r>
        <w:t xml:space="preserve">Controlar stock disponible.</w:t>
      </w:r>
    </w:p>
    <w:p>
      <w:pPr>
        <w:numPr>
          <w:ilvl w:val="0"/>
          <w:numId w:val="1006"/>
        </w:numPr>
        <w:pStyle w:val="Compact"/>
      </w:pPr>
      <w:r>
        <w:t xml:space="preserve">Reducir pérdidas y tiempos de búsqueda.</w:t>
      </w:r>
    </w:p>
    <w:bookmarkEnd w:id="26"/>
    <w:bookmarkStart w:id="27" w:name="seguridad"/>
    <w:p>
      <w:pPr>
        <w:pStyle w:val="Heading3"/>
      </w:pPr>
      <w:r>
        <w:t xml:space="preserve">3.3. Seguridad</w:t>
      </w:r>
    </w:p>
    <w:p>
      <w:pPr>
        <w:numPr>
          <w:ilvl w:val="0"/>
          <w:numId w:val="1007"/>
        </w:numPr>
        <w:pStyle w:val="Compact"/>
      </w:pPr>
      <w:r>
        <w:t xml:space="preserve">Evitar uso no autorizado.</w:t>
      </w:r>
    </w:p>
    <w:p>
      <w:pPr>
        <w:numPr>
          <w:ilvl w:val="0"/>
          <w:numId w:val="1007"/>
        </w:numPr>
        <w:pStyle w:val="Compact"/>
      </w:pPr>
      <w:r>
        <w:t xml:space="preserve">Minimizar manipulación indebida.</w:t>
      </w:r>
    </w:p>
    <w:p>
      <w:pPr>
        <w:numPr>
          <w:ilvl w:val="0"/>
          <w:numId w:val="1007"/>
        </w:numPr>
        <w:pStyle w:val="Compact"/>
      </w:pPr>
      <w:r>
        <w:t xml:space="preserve">No alterar la integridad del cilindro.</w:t>
      </w:r>
    </w:p>
    <w:p>
      <w:pPr>
        <w:numPr>
          <w:ilvl w:val="0"/>
          <w:numId w:val="1007"/>
        </w:numPr>
        <w:pStyle w:val="Compact"/>
      </w:pPr>
      <w:r>
        <w:t xml:space="preserve">Utilizar equipos compatibles con ambientes industriales.</w:t>
      </w:r>
    </w:p>
    <w:bookmarkEnd w:id="27"/>
    <w:bookmarkStart w:id="28" w:name="trazabilidad"/>
    <w:p>
      <w:pPr>
        <w:pStyle w:val="Heading3"/>
      </w:pPr>
      <w:r>
        <w:t xml:space="preserve">3.4. Trazabilidad</w:t>
      </w:r>
    </w:p>
    <w:p>
      <w:pPr>
        <w:numPr>
          <w:ilvl w:val="0"/>
          <w:numId w:val="1008"/>
        </w:numPr>
        <w:pStyle w:val="Compact"/>
      </w:pPr>
      <w:r>
        <w:t xml:space="preserve">Mantener historial de ubicación.</w:t>
      </w:r>
    </w:p>
    <w:p>
      <w:pPr>
        <w:numPr>
          <w:ilvl w:val="0"/>
          <w:numId w:val="1008"/>
        </w:numPr>
        <w:pStyle w:val="Compact"/>
      </w:pPr>
      <w:r>
        <w:t xml:space="preserve">Registrar responsable asignado.</w:t>
      </w:r>
    </w:p>
    <w:p>
      <w:pPr>
        <w:numPr>
          <w:ilvl w:val="0"/>
          <w:numId w:val="1008"/>
        </w:numPr>
        <w:pStyle w:val="Compact"/>
      </w:pPr>
      <w:r>
        <w:t xml:space="preserve">Asociar cada tubo a número de serie, proveedor, tipo de gas y vencimiento de inspección.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alternativas-tecnológicas-disponibles"/>
    <w:p>
      <w:pPr>
        <w:pStyle w:val="Heading2"/>
      </w:pPr>
      <w:r>
        <w:t xml:space="preserve">4. Alternativas tecnológicas disponibles</w:t>
      </w:r>
    </w:p>
    <w:bookmarkEnd w:id="30"/>
    <w:bookmarkStart w:id="36" w:name="rastreador-gps-con-comunicación-celular"/>
    <w:p>
      <w:pPr>
        <w:pStyle w:val="Heading2"/>
      </w:pPr>
      <w:r>
        <w:t xml:space="preserve">4.1. Rastreador GPS con comunicación celular</w:t>
      </w:r>
    </w:p>
    <w:bookmarkStart w:id="31" w:name="descripción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Consiste en instalar un dispositivo GPS externo al cilindro, fijado mediante collarín, abrazadera, carcasa o soporte industrial. El dispositivo obtiene coordenadas satelitales y las transmite a una plataforma mediante red celular.</w:t>
      </w:r>
    </w:p>
    <w:bookmarkEnd w:id="31"/>
    <w:bookmarkStart w:id="32" w:name="tecnologías-posibles"/>
    <w:p>
      <w:pPr>
        <w:pStyle w:val="Heading3"/>
      </w:pPr>
      <w:r>
        <w:t xml:space="preserve">Tecnologías posibles</w:t>
      </w:r>
    </w:p>
    <w:p>
      <w:pPr>
        <w:numPr>
          <w:ilvl w:val="0"/>
          <w:numId w:val="1009"/>
        </w:numPr>
        <w:pStyle w:val="Compact"/>
      </w:pPr>
      <w:r>
        <w:t xml:space="preserve">4G/LTE.</w:t>
      </w:r>
    </w:p>
    <w:p>
      <w:pPr>
        <w:numPr>
          <w:ilvl w:val="0"/>
          <w:numId w:val="1009"/>
        </w:numPr>
        <w:pStyle w:val="Compact"/>
      </w:pPr>
      <w:r>
        <w:t xml:space="preserve">LTE-M.</w:t>
      </w:r>
    </w:p>
    <w:p>
      <w:pPr>
        <w:numPr>
          <w:ilvl w:val="0"/>
          <w:numId w:val="1009"/>
        </w:numPr>
        <w:pStyle w:val="Compact"/>
      </w:pPr>
      <w:r>
        <w:t xml:space="preserve">NB-IoT.</w:t>
      </w:r>
    </w:p>
    <w:p>
      <w:pPr>
        <w:numPr>
          <w:ilvl w:val="0"/>
          <w:numId w:val="1009"/>
        </w:numPr>
        <w:pStyle w:val="Compact"/>
      </w:pPr>
      <w:r>
        <w:t xml:space="preserve">2G/3G, donde aún esté disponible.</w:t>
      </w:r>
    </w:p>
    <w:p>
      <w:pPr>
        <w:numPr>
          <w:ilvl w:val="0"/>
          <w:numId w:val="1009"/>
        </w:numPr>
        <w:pStyle w:val="Compact"/>
      </w:pPr>
      <w:r>
        <w:t xml:space="preserve">SIM tradicional o eSIM.</w:t>
      </w:r>
    </w:p>
    <w:bookmarkEnd w:id="32"/>
    <w:bookmarkStart w:id="33" w:name="ventajas"/>
    <w:p>
      <w:pPr>
        <w:pStyle w:val="Heading3"/>
      </w:pPr>
      <w:r>
        <w:t xml:space="preserve">Ventajas</w:t>
      </w:r>
    </w:p>
    <w:p>
      <w:pPr>
        <w:numPr>
          <w:ilvl w:val="0"/>
          <w:numId w:val="1010"/>
        </w:numPr>
        <w:pStyle w:val="Compact"/>
      </w:pPr>
      <w:r>
        <w:t xml:space="preserve">Localización en tiempo real o por intervalos.</w:t>
      </w:r>
    </w:p>
    <w:p>
      <w:pPr>
        <w:numPr>
          <w:ilvl w:val="0"/>
          <w:numId w:val="1010"/>
        </w:numPr>
        <w:pStyle w:val="Compact"/>
      </w:pPr>
      <w:r>
        <w:t xml:space="preserve">Adecuado para cilindros que salen de planta.</w:t>
      </w:r>
    </w:p>
    <w:p>
      <w:pPr>
        <w:numPr>
          <w:ilvl w:val="0"/>
          <w:numId w:val="1010"/>
        </w:numPr>
        <w:pStyle w:val="Compact"/>
      </w:pPr>
      <w:r>
        <w:t xml:space="preserve">Permite geocercas.</w:t>
      </w:r>
    </w:p>
    <w:p>
      <w:pPr>
        <w:numPr>
          <w:ilvl w:val="0"/>
          <w:numId w:val="1010"/>
        </w:numPr>
        <w:pStyle w:val="Compact"/>
      </w:pPr>
      <w:r>
        <w:t xml:space="preserve">Genera alertas por movimiento.</w:t>
      </w:r>
    </w:p>
    <w:p>
      <w:pPr>
        <w:numPr>
          <w:ilvl w:val="0"/>
          <w:numId w:val="1010"/>
        </w:numPr>
        <w:pStyle w:val="Compact"/>
      </w:pPr>
      <w:r>
        <w:t xml:space="preserve">Puede enviar aviso ante intento de manipulación.</w:t>
      </w:r>
    </w:p>
    <w:p>
      <w:pPr>
        <w:numPr>
          <w:ilvl w:val="0"/>
          <w:numId w:val="1010"/>
        </w:numPr>
        <w:pStyle w:val="Compact"/>
      </w:pPr>
      <w:r>
        <w:t xml:space="preserve">Permite seguimiento durante transporte.</w:t>
      </w:r>
    </w:p>
    <w:bookmarkEnd w:id="33"/>
    <w:bookmarkStart w:id="34" w:name="limitaciones"/>
    <w:p>
      <w:pPr>
        <w:pStyle w:val="Heading3"/>
      </w:pPr>
      <w:r>
        <w:t xml:space="preserve">Limitaciones</w:t>
      </w:r>
    </w:p>
    <w:p>
      <w:pPr>
        <w:numPr>
          <w:ilvl w:val="0"/>
          <w:numId w:val="1011"/>
        </w:numPr>
        <w:pStyle w:val="Compact"/>
      </w:pPr>
      <w:r>
        <w:t xml:space="preserve">Requiere cobertura celular.</w:t>
      </w:r>
    </w:p>
    <w:p>
      <w:pPr>
        <w:numPr>
          <w:ilvl w:val="0"/>
          <w:numId w:val="1011"/>
        </w:numPr>
        <w:pStyle w:val="Compact"/>
      </w:pPr>
      <w:r>
        <w:t xml:space="preserve">Necesita batería o recarga periódica.</w:t>
      </w:r>
    </w:p>
    <w:p>
      <w:pPr>
        <w:numPr>
          <w:ilvl w:val="0"/>
          <w:numId w:val="1011"/>
        </w:numPr>
        <w:pStyle w:val="Compact"/>
      </w:pPr>
      <w:r>
        <w:t xml:space="preserve">Costo de conectividad mensual.</w:t>
      </w:r>
    </w:p>
    <w:p>
      <w:pPr>
        <w:numPr>
          <w:ilvl w:val="0"/>
          <w:numId w:val="1011"/>
        </w:numPr>
        <w:pStyle w:val="Compact"/>
      </w:pPr>
      <w:r>
        <w:t xml:space="preserve">En interiores cerrados la señal GPS puede perder precisión.</w:t>
      </w:r>
    </w:p>
    <w:bookmarkEnd w:id="34"/>
    <w:bookmarkStart w:id="35" w:name="uso-recomendado"/>
    <w:p>
      <w:pPr>
        <w:pStyle w:val="Heading3"/>
      </w:pPr>
      <w:r>
        <w:t xml:space="preserve">Uso recomendado</w:t>
      </w:r>
    </w:p>
    <w:p>
      <w:pPr>
        <w:pStyle w:val="FirstParagraph"/>
      </w:pPr>
      <w:r>
        <w:t xml:space="preserve">Esta alternativa es la más adecuada para:</w:t>
      </w:r>
    </w:p>
    <w:p>
      <w:pPr>
        <w:numPr>
          <w:ilvl w:val="0"/>
          <w:numId w:val="1012"/>
        </w:numPr>
        <w:pStyle w:val="Compact"/>
      </w:pPr>
      <w:r>
        <w:t xml:space="preserve">Cilindros transportados entre obras.</w:t>
      </w:r>
    </w:p>
    <w:p>
      <w:pPr>
        <w:numPr>
          <w:ilvl w:val="0"/>
          <w:numId w:val="1012"/>
        </w:numPr>
        <w:pStyle w:val="Compact"/>
      </w:pPr>
      <w:r>
        <w:t xml:space="preserve">Activos de alto valor.</w:t>
      </w:r>
    </w:p>
    <w:p>
      <w:pPr>
        <w:numPr>
          <w:ilvl w:val="0"/>
          <w:numId w:val="1012"/>
        </w:numPr>
        <w:pStyle w:val="Compact"/>
      </w:pPr>
      <w:r>
        <w:t xml:space="preserve">Operaciones con riesgo de pérdida o robo.</w:t>
      </w:r>
    </w:p>
    <w:p>
      <w:pPr>
        <w:numPr>
          <w:ilvl w:val="0"/>
          <w:numId w:val="1012"/>
        </w:numPr>
        <w:pStyle w:val="Compact"/>
      </w:pPr>
      <w:r>
        <w:t xml:space="preserve">Empresas con logística externa.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sistema-lorawan"/>
    <w:p>
      <w:pPr>
        <w:pStyle w:val="Heading2"/>
      </w:pPr>
      <w:r>
        <w:t xml:space="preserve">4.2. Sistema LoRaWAN</w:t>
      </w:r>
    </w:p>
    <w:bookmarkStart w:id="37" w:name="descripción-1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LoRaWAN es una tecnología de comunicación inalámbrica de largo alcance y bajo consumo. El cilindro se equipa con un sensor o rastreador IoT que transmite información a uno o varios gateways instalados en la empresa.</w:t>
      </w:r>
    </w:p>
    <w:bookmarkEnd w:id="37"/>
    <w:bookmarkStart w:id="38" w:name="ventajas-1"/>
    <w:p>
      <w:pPr>
        <w:pStyle w:val="Heading3"/>
      </w:pPr>
      <w:r>
        <w:t xml:space="preserve">Ventajas</w:t>
      </w:r>
    </w:p>
    <w:p>
      <w:pPr>
        <w:numPr>
          <w:ilvl w:val="0"/>
          <w:numId w:val="1013"/>
        </w:numPr>
        <w:pStyle w:val="Compact"/>
      </w:pPr>
      <w:r>
        <w:t xml:space="preserve">Bajo consumo de batería.</w:t>
      </w:r>
    </w:p>
    <w:p>
      <w:pPr>
        <w:numPr>
          <w:ilvl w:val="0"/>
          <w:numId w:val="1013"/>
        </w:numPr>
        <w:pStyle w:val="Compact"/>
      </w:pPr>
      <w:r>
        <w:t xml:space="preserve">Buena cobertura en patios industriales y plantas.</w:t>
      </w:r>
    </w:p>
    <w:p>
      <w:pPr>
        <w:numPr>
          <w:ilvl w:val="0"/>
          <w:numId w:val="1013"/>
        </w:numPr>
        <w:pStyle w:val="Compact"/>
      </w:pPr>
      <w:r>
        <w:t xml:space="preserve">No depende de SIM individual por cilindro.</w:t>
      </w:r>
    </w:p>
    <w:p>
      <w:pPr>
        <w:numPr>
          <w:ilvl w:val="0"/>
          <w:numId w:val="1013"/>
        </w:numPr>
        <w:pStyle w:val="Compact"/>
      </w:pPr>
      <w:r>
        <w:t xml:space="preserve">Adecuado para grandes instalaciones.</w:t>
      </w:r>
    </w:p>
    <w:p>
      <w:pPr>
        <w:numPr>
          <w:ilvl w:val="0"/>
          <w:numId w:val="1013"/>
        </w:numPr>
        <w:pStyle w:val="Compact"/>
      </w:pPr>
      <w:r>
        <w:t xml:space="preserve">Bajo costo operativo una vez instalada la red.</w:t>
      </w:r>
    </w:p>
    <w:bookmarkEnd w:id="38"/>
    <w:bookmarkStart w:id="39" w:name="limitaciones-1"/>
    <w:p>
      <w:pPr>
        <w:pStyle w:val="Heading3"/>
      </w:pPr>
      <w:r>
        <w:t xml:space="preserve">Limitaciones</w:t>
      </w:r>
    </w:p>
    <w:p>
      <w:pPr>
        <w:numPr>
          <w:ilvl w:val="0"/>
          <w:numId w:val="1014"/>
        </w:numPr>
        <w:pStyle w:val="Compact"/>
      </w:pPr>
      <w:r>
        <w:t xml:space="preserve">Requiere infraestructura propia, al menos un gateway.</w:t>
      </w:r>
    </w:p>
    <w:p>
      <w:pPr>
        <w:numPr>
          <w:ilvl w:val="0"/>
          <w:numId w:val="1014"/>
        </w:numPr>
        <w:pStyle w:val="Compact"/>
      </w:pPr>
      <w:r>
        <w:t xml:space="preserve">No es ideal para rastreo fuera de cobertura de la red.</w:t>
      </w:r>
    </w:p>
    <w:p>
      <w:pPr>
        <w:numPr>
          <w:ilvl w:val="0"/>
          <w:numId w:val="1014"/>
        </w:numPr>
        <w:pStyle w:val="Compact"/>
      </w:pPr>
      <w:r>
        <w:t xml:space="preserve">La localización puede ser menos precisa que GPS, salvo que se combine con GPS.</w:t>
      </w:r>
    </w:p>
    <w:bookmarkEnd w:id="39"/>
    <w:bookmarkStart w:id="40" w:name="uso-recomendado-1"/>
    <w:p>
      <w:pPr>
        <w:pStyle w:val="Heading3"/>
      </w:pPr>
      <w:r>
        <w:t xml:space="preserve">Uso recomendado</w:t>
      </w:r>
    </w:p>
    <w:p>
      <w:pPr>
        <w:pStyle w:val="FirstParagraph"/>
      </w:pPr>
      <w:r>
        <w:t xml:space="preserve">Adecuado para:</w:t>
      </w:r>
    </w:p>
    <w:p>
      <w:pPr>
        <w:numPr>
          <w:ilvl w:val="0"/>
          <w:numId w:val="1015"/>
        </w:numPr>
        <w:pStyle w:val="Compact"/>
      </w:pPr>
      <w:r>
        <w:t xml:space="preserve">Plantas industriales.</w:t>
      </w:r>
    </w:p>
    <w:p>
      <w:pPr>
        <w:numPr>
          <w:ilvl w:val="0"/>
          <w:numId w:val="1015"/>
        </w:numPr>
        <w:pStyle w:val="Compact"/>
      </w:pPr>
      <w:r>
        <w:t xml:space="preserve">Depósitos.</w:t>
      </w:r>
    </w:p>
    <w:p>
      <w:pPr>
        <w:numPr>
          <w:ilvl w:val="0"/>
          <w:numId w:val="1015"/>
        </w:numPr>
        <w:pStyle w:val="Compact"/>
      </w:pPr>
      <w:r>
        <w:t xml:space="preserve">Astilleros.</w:t>
      </w:r>
    </w:p>
    <w:p>
      <w:pPr>
        <w:numPr>
          <w:ilvl w:val="0"/>
          <w:numId w:val="1015"/>
        </w:numPr>
        <w:pStyle w:val="Compact"/>
      </w:pPr>
      <w:r>
        <w:t xml:space="preserve">Minería.</w:t>
      </w:r>
    </w:p>
    <w:p>
      <w:pPr>
        <w:numPr>
          <w:ilvl w:val="0"/>
          <w:numId w:val="1015"/>
        </w:numPr>
        <w:pStyle w:val="Compact"/>
      </w:pPr>
      <w:r>
        <w:t xml:space="preserve">Grandes talleres.</w:t>
      </w:r>
    </w:p>
    <w:p>
      <w:pPr>
        <w:numPr>
          <w:ilvl w:val="0"/>
          <w:numId w:val="1015"/>
        </w:numPr>
        <w:pStyle w:val="Compact"/>
      </w:pPr>
      <w:r>
        <w:t xml:space="preserve">Patios de almacenamiento.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rfid"/>
    <w:p>
      <w:pPr>
        <w:pStyle w:val="Heading2"/>
      </w:pPr>
      <w:r>
        <w:t xml:space="preserve">4.3. RFID</w:t>
      </w:r>
    </w:p>
    <w:bookmarkStart w:id="42" w:name="descripción-2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RFID permite identificar cilindros mediante etiquetas electrónicas. Puede ser pasivo o activo.</w:t>
      </w:r>
    </w:p>
    <w:bookmarkEnd w:id="42"/>
    <w:bookmarkStart w:id="43" w:name="rfid-pasivo"/>
    <w:p>
      <w:pPr>
        <w:pStyle w:val="Heading3"/>
      </w:pPr>
      <w:r>
        <w:t xml:space="preserve">RFID pasivo</w:t>
      </w:r>
    </w:p>
    <w:p>
      <w:pPr>
        <w:pStyle w:val="FirstParagraph"/>
      </w:pPr>
      <w:r>
        <w:t xml:space="preserve">No requiere batería. Se lee cuando pasa cerca de un lector.</w:t>
      </w:r>
    </w:p>
    <w:bookmarkEnd w:id="43"/>
    <w:bookmarkStart w:id="44" w:name="rfid-activo"/>
    <w:p>
      <w:pPr>
        <w:pStyle w:val="Heading3"/>
      </w:pPr>
      <w:r>
        <w:t xml:space="preserve">RFID activo</w:t>
      </w:r>
    </w:p>
    <w:p>
      <w:pPr>
        <w:pStyle w:val="FirstParagraph"/>
      </w:pPr>
      <w:r>
        <w:t xml:space="preserve">Tiene batería y puede emitir señal a mayor distancia.</w:t>
      </w:r>
    </w:p>
    <w:bookmarkEnd w:id="44"/>
    <w:bookmarkStart w:id="45" w:name="ventajas-2"/>
    <w:p>
      <w:pPr>
        <w:pStyle w:val="Heading3"/>
      </w:pPr>
      <w:r>
        <w:t xml:space="preserve">Ventajas</w:t>
      </w:r>
    </w:p>
    <w:p>
      <w:pPr>
        <w:numPr>
          <w:ilvl w:val="0"/>
          <w:numId w:val="1016"/>
        </w:numPr>
        <w:pStyle w:val="Compact"/>
      </w:pPr>
      <w:r>
        <w:t xml:space="preserve">Muy útil para inventario.</w:t>
      </w:r>
    </w:p>
    <w:p>
      <w:pPr>
        <w:numPr>
          <w:ilvl w:val="0"/>
          <w:numId w:val="1016"/>
        </w:numPr>
        <w:pStyle w:val="Compact"/>
      </w:pPr>
      <w:r>
        <w:t xml:space="preserve">Bajo costo por etiqueta, especialmente RFID pasivo.</w:t>
      </w:r>
    </w:p>
    <w:p>
      <w:pPr>
        <w:numPr>
          <w:ilvl w:val="0"/>
          <w:numId w:val="1016"/>
        </w:numPr>
        <w:pStyle w:val="Compact"/>
      </w:pPr>
      <w:r>
        <w:t xml:space="preserve">Permite control de ingreso y salida.</w:t>
      </w:r>
    </w:p>
    <w:p>
      <w:pPr>
        <w:numPr>
          <w:ilvl w:val="0"/>
          <w:numId w:val="1016"/>
        </w:numPr>
        <w:pStyle w:val="Compact"/>
      </w:pPr>
      <w:r>
        <w:t xml:space="preserve">Se puede integrar con sistemas ERP o de mantenimiento.</w:t>
      </w:r>
    </w:p>
    <w:bookmarkEnd w:id="45"/>
    <w:bookmarkStart w:id="46" w:name="limitaciones-2"/>
    <w:p>
      <w:pPr>
        <w:pStyle w:val="Heading3"/>
      </w:pPr>
      <w:r>
        <w:t xml:space="preserve">Limitaciones</w:t>
      </w:r>
    </w:p>
    <w:p>
      <w:pPr>
        <w:numPr>
          <w:ilvl w:val="0"/>
          <w:numId w:val="1017"/>
        </w:numPr>
        <w:pStyle w:val="Compact"/>
      </w:pPr>
      <w:r>
        <w:t xml:space="preserve">No proporciona ubicación GPS.</w:t>
      </w:r>
    </w:p>
    <w:p>
      <w:pPr>
        <w:numPr>
          <w:ilvl w:val="0"/>
          <w:numId w:val="1017"/>
        </w:numPr>
        <w:pStyle w:val="Compact"/>
      </w:pPr>
      <w:r>
        <w:t xml:space="preserve">Requiere lectores fijos o portátiles.</w:t>
      </w:r>
    </w:p>
    <w:p>
      <w:pPr>
        <w:numPr>
          <w:ilvl w:val="0"/>
          <w:numId w:val="1017"/>
        </w:numPr>
        <w:pStyle w:val="Compact"/>
      </w:pPr>
      <w:r>
        <w:t xml:space="preserve">La lectura depende de la distancia y del entorno metálico.</w:t>
      </w:r>
    </w:p>
    <w:bookmarkEnd w:id="46"/>
    <w:bookmarkStart w:id="47" w:name="uso-recomendado-2"/>
    <w:p>
      <w:pPr>
        <w:pStyle w:val="Heading3"/>
      </w:pPr>
      <w:r>
        <w:t xml:space="preserve">Uso recomendado</w:t>
      </w:r>
    </w:p>
    <w:p>
      <w:pPr>
        <w:pStyle w:val="FirstParagraph"/>
      </w:pPr>
      <w:r>
        <w:t xml:space="preserve">Ideal para:</w:t>
      </w:r>
    </w:p>
    <w:p>
      <w:pPr>
        <w:numPr>
          <w:ilvl w:val="0"/>
          <w:numId w:val="1018"/>
        </w:numPr>
        <w:pStyle w:val="Compact"/>
      </w:pPr>
      <w:r>
        <w:t xml:space="preserve">Control de stock.</w:t>
      </w:r>
    </w:p>
    <w:p>
      <w:pPr>
        <w:numPr>
          <w:ilvl w:val="0"/>
          <w:numId w:val="1018"/>
        </w:numPr>
        <w:pStyle w:val="Compact"/>
      </w:pPr>
      <w:r>
        <w:t xml:space="preserve">Inventario interno.</w:t>
      </w:r>
    </w:p>
    <w:p>
      <w:pPr>
        <w:numPr>
          <w:ilvl w:val="0"/>
          <w:numId w:val="1018"/>
        </w:numPr>
        <w:pStyle w:val="Compact"/>
      </w:pPr>
      <w:r>
        <w:t xml:space="preserve">Identificación rápida.</w:t>
      </w:r>
    </w:p>
    <w:p>
      <w:pPr>
        <w:numPr>
          <w:ilvl w:val="0"/>
          <w:numId w:val="1018"/>
        </w:numPr>
        <w:pStyle w:val="Compact"/>
      </w:pPr>
      <w:r>
        <w:t xml:space="preserve">Registro de recepción y despacho.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nfc"/>
    <w:p>
      <w:pPr>
        <w:pStyle w:val="Heading2"/>
      </w:pPr>
      <w:r>
        <w:t xml:space="preserve">4.4. NFC</w:t>
      </w:r>
    </w:p>
    <w:bookmarkStart w:id="49" w:name="descripción-3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NFC permite identificar un cilindro mediante una etiqueta que puede leerse con un teléfono móvil compatible.</w:t>
      </w:r>
    </w:p>
    <w:bookmarkEnd w:id="49"/>
    <w:bookmarkStart w:id="50" w:name="ventajas-3"/>
    <w:p>
      <w:pPr>
        <w:pStyle w:val="Heading3"/>
      </w:pPr>
      <w:r>
        <w:t xml:space="preserve">Ventajas</w:t>
      </w:r>
    </w:p>
    <w:p>
      <w:pPr>
        <w:numPr>
          <w:ilvl w:val="0"/>
          <w:numId w:val="1019"/>
        </w:numPr>
        <w:pStyle w:val="Compact"/>
      </w:pPr>
      <w:r>
        <w:t xml:space="preserve">Bajo costo.</w:t>
      </w:r>
    </w:p>
    <w:p>
      <w:pPr>
        <w:numPr>
          <w:ilvl w:val="0"/>
          <w:numId w:val="1019"/>
        </w:numPr>
        <w:pStyle w:val="Compact"/>
      </w:pPr>
      <w:r>
        <w:t xml:space="preserve">No requiere batería.</w:t>
      </w:r>
    </w:p>
    <w:p>
      <w:pPr>
        <w:numPr>
          <w:ilvl w:val="0"/>
          <w:numId w:val="1019"/>
        </w:numPr>
        <w:pStyle w:val="Compact"/>
      </w:pPr>
      <w:r>
        <w:t xml:space="preserve">Fácil lectura con smartphone.</w:t>
      </w:r>
    </w:p>
    <w:p>
      <w:pPr>
        <w:numPr>
          <w:ilvl w:val="0"/>
          <w:numId w:val="1019"/>
        </w:numPr>
        <w:pStyle w:val="Compact"/>
      </w:pPr>
      <w:r>
        <w:t xml:space="preserve">Permite asociar información del cilindro: tipo de gas, proveedor, número interno, fecha de revisión.</w:t>
      </w:r>
    </w:p>
    <w:bookmarkEnd w:id="50"/>
    <w:bookmarkStart w:id="51" w:name="limitaciones-3"/>
    <w:p>
      <w:pPr>
        <w:pStyle w:val="Heading3"/>
      </w:pPr>
      <w:r>
        <w:t xml:space="preserve">Limitaciones</w:t>
      </w:r>
    </w:p>
    <w:p>
      <w:pPr>
        <w:numPr>
          <w:ilvl w:val="0"/>
          <w:numId w:val="1020"/>
        </w:numPr>
        <w:pStyle w:val="Compact"/>
      </w:pPr>
      <w:r>
        <w:t xml:space="preserve">Lectura de muy corto alcance.</w:t>
      </w:r>
    </w:p>
    <w:p>
      <w:pPr>
        <w:numPr>
          <w:ilvl w:val="0"/>
          <w:numId w:val="1020"/>
        </w:numPr>
        <w:pStyle w:val="Compact"/>
      </w:pPr>
      <w:r>
        <w:t xml:space="preserve">No sirve para rastreo automático.</w:t>
      </w:r>
    </w:p>
    <w:p>
      <w:pPr>
        <w:numPr>
          <w:ilvl w:val="0"/>
          <w:numId w:val="1020"/>
        </w:numPr>
        <w:pStyle w:val="Compact"/>
      </w:pPr>
      <w:r>
        <w:t xml:space="preserve">Requiere intervención manual.</w:t>
      </w:r>
    </w:p>
    <w:bookmarkEnd w:id="51"/>
    <w:bookmarkStart w:id="52" w:name="uso-recomendado-3"/>
    <w:p>
      <w:pPr>
        <w:pStyle w:val="Heading3"/>
      </w:pPr>
      <w:r>
        <w:t xml:space="preserve">Uso recomendado</w:t>
      </w:r>
    </w:p>
    <w:p>
      <w:pPr>
        <w:pStyle w:val="FirstParagraph"/>
      </w:pPr>
      <w:r>
        <w:t xml:space="preserve">Recomendado como complemento para:</w:t>
      </w:r>
    </w:p>
    <w:p>
      <w:pPr>
        <w:numPr>
          <w:ilvl w:val="0"/>
          <w:numId w:val="1021"/>
        </w:numPr>
        <w:pStyle w:val="Compact"/>
      </w:pPr>
      <w:r>
        <w:t xml:space="preserve">Inventario.</w:t>
      </w:r>
    </w:p>
    <w:p>
      <w:pPr>
        <w:numPr>
          <w:ilvl w:val="0"/>
          <w:numId w:val="1021"/>
        </w:numPr>
        <w:pStyle w:val="Compact"/>
      </w:pPr>
      <w:r>
        <w:t xml:space="preserve">Inspecciones.</w:t>
      </w:r>
    </w:p>
    <w:p>
      <w:pPr>
        <w:numPr>
          <w:ilvl w:val="0"/>
          <w:numId w:val="1021"/>
        </w:numPr>
        <w:pStyle w:val="Compact"/>
      </w:pPr>
      <w:r>
        <w:t xml:space="preserve">Auditorías.</w:t>
      </w:r>
    </w:p>
    <w:p>
      <w:pPr>
        <w:numPr>
          <w:ilvl w:val="0"/>
          <w:numId w:val="1021"/>
        </w:numPr>
        <w:pStyle w:val="Compact"/>
      </w:pPr>
      <w:r>
        <w:t xml:space="preserve">Identificación rápida por operarios.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bluetooth-ble-beacon"/>
    <w:p>
      <w:pPr>
        <w:pStyle w:val="Heading2"/>
      </w:pPr>
      <w:r>
        <w:t xml:space="preserve">4.5. Bluetooth BLE Beacon</w:t>
      </w:r>
    </w:p>
    <w:bookmarkStart w:id="54" w:name="descripción-4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Un beacon BLE es un pequeño dispositivo que emite una señal Bluetooth periódica. Puede ser detectado por teléfonos, gateways o receptores instalados en planta.</w:t>
      </w:r>
    </w:p>
    <w:bookmarkEnd w:id="54"/>
    <w:bookmarkStart w:id="55" w:name="ventajas-4"/>
    <w:p>
      <w:pPr>
        <w:pStyle w:val="Heading3"/>
      </w:pPr>
      <w:r>
        <w:t xml:space="preserve">Ventajas</w:t>
      </w:r>
    </w:p>
    <w:p>
      <w:pPr>
        <w:numPr>
          <w:ilvl w:val="0"/>
          <w:numId w:val="1022"/>
        </w:numPr>
        <w:pStyle w:val="Compact"/>
      </w:pPr>
      <w:r>
        <w:t xml:space="preserve">Bajo consumo.</w:t>
      </w:r>
    </w:p>
    <w:p>
      <w:pPr>
        <w:numPr>
          <w:ilvl w:val="0"/>
          <w:numId w:val="1022"/>
        </w:numPr>
        <w:pStyle w:val="Compact"/>
      </w:pPr>
      <w:r>
        <w:t xml:space="preserve">Útil para ubicación aproximada en interiores.</w:t>
      </w:r>
    </w:p>
    <w:p>
      <w:pPr>
        <w:numPr>
          <w:ilvl w:val="0"/>
          <w:numId w:val="1022"/>
        </w:numPr>
        <w:pStyle w:val="Compact"/>
      </w:pPr>
      <w:r>
        <w:t xml:space="preserve">Puede integrarse con apps móviles.</w:t>
      </w:r>
    </w:p>
    <w:p>
      <w:pPr>
        <w:numPr>
          <w:ilvl w:val="0"/>
          <w:numId w:val="1022"/>
        </w:numPr>
        <w:pStyle w:val="Compact"/>
      </w:pPr>
      <w:r>
        <w:t xml:space="preserve">Permite detectar presencia por zonas.</w:t>
      </w:r>
    </w:p>
    <w:bookmarkEnd w:id="55"/>
    <w:bookmarkStart w:id="56" w:name="limitaciones-4"/>
    <w:p>
      <w:pPr>
        <w:pStyle w:val="Heading3"/>
      </w:pPr>
      <w:r>
        <w:t xml:space="preserve">Limitaciones</w:t>
      </w:r>
    </w:p>
    <w:p>
      <w:pPr>
        <w:numPr>
          <w:ilvl w:val="0"/>
          <w:numId w:val="1023"/>
        </w:numPr>
        <w:pStyle w:val="Compact"/>
      </w:pPr>
      <w:r>
        <w:t xml:space="preserve">No proporciona ubicación global.</w:t>
      </w:r>
    </w:p>
    <w:p>
      <w:pPr>
        <w:numPr>
          <w:ilvl w:val="0"/>
          <w:numId w:val="1023"/>
        </w:numPr>
        <w:pStyle w:val="Compact"/>
      </w:pPr>
      <w:r>
        <w:t xml:space="preserve">Requiere infraestructura receptora.</w:t>
      </w:r>
    </w:p>
    <w:p>
      <w:pPr>
        <w:numPr>
          <w:ilvl w:val="0"/>
          <w:numId w:val="1023"/>
        </w:numPr>
        <w:pStyle w:val="Compact"/>
      </w:pPr>
      <w:r>
        <w:t xml:space="preserve">Precisión variable según obstáculos y entorno metálico.</w:t>
      </w:r>
    </w:p>
    <w:bookmarkEnd w:id="56"/>
    <w:bookmarkStart w:id="57" w:name="uso-recomendado-4"/>
    <w:p>
      <w:pPr>
        <w:pStyle w:val="Heading3"/>
      </w:pPr>
      <w:r>
        <w:t xml:space="preserve">Uso recomendado</w:t>
      </w:r>
    </w:p>
    <w:p>
      <w:pPr>
        <w:pStyle w:val="FirstParagraph"/>
      </w:pPr>
      <w:r>
        <w:t xml:space="preserve">Adecuado para:</w:t>
      </w:r>
    </w:p>
    <w:p>
      <w:pPr>
        <w:numPr>
          <w:ilvl w:val="0"/>
          <w:numId w:val="1024"/>
        </w:numPr>
        <w:pStyle w:val="Compact"/>
      </w:pPr>
      <w:r>
        <w:t xml:space="preserve">Talleres.</w:t>
      </w:r>
    </w:p>
    <w:p>
      <w:pPr>
        <w:numPr>
          <w:ilvl w:val="0"/>
          <w:numId w:val="1024"/>
        </w:numPr>
        <w:pStyle w:val="Compact"/>
      </w:pPr>
      <w:r>
        <w:t xml:space="preserve">Almacenes.</w:t>
      </w:r>
    </w:p>
    <w:p>
      <w:pPr>
        <w:numPr>
          <w:ilvl w:val="0"/>
          <w:numId w:val="1024"/>
        </w:numPr>
        <w:pStyle w:val="Compact"/>
      </w:pPr>
      <w:r>
        <w:t xml:space="preserve">Ubicación interna por zonas.</w:t>
      </w:r>
    </w:p>
    <w:p>
      <w:pPr>
        <w:numPr>
          <w:ilvl w:val="0"/>
          <w:numId w:val="1024"/>
        </w:numPr>
        <w:pStyle w:val="Compact"/>
      </w:pPr>
      <w:r>
        <w:t xml:space="preserve">Control de presencia de activos.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rastreo-satelital"/>
    <w:p>
      <w:pPr>
        <w:pStyle w:val="Heading2"/>
      </w:pPr>
      <w:r>
        <w:t xml:space="preserve">4.6. Rastreo satelital</w:t>
      </w:r>
    </w:p>
    <w:bookmarkStart w:id="59" w:name="descripción-5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Dispositivos que transmiten ubicación mediante redes satelitales, sin depender de cobertura celular.</w:t>
      </w:r>
    </w:p>
    <w:bookmarkEnd w:id="59"/>
    <w:bookmarkStart w:id="60" w:name="ventajas-5"/>
    <w:p>
      <w:pPr>
        <w:pStyle w:val="Heading3"/>
      </w:pPr>
      <w:r>
        <w:t xml:space="preserve">Ventajas</w:t>
      </w:r>
    </w:p>
    <w:p>
      <w:pPr>
        <w:numPr>
          <w:ilvl w:val="0"/>
          <w:numId w:val="1025"/>
        </w:numPr>
        <w:pStyle w:val="Compact"/>
      </w:pPr>
      <w:r>
        <w:t xml:space="preserve">Funciona en zonas remotas.</w:t>
      </w:r>
    </w:p>
    <w:p>
      <w:pPr>
        <w:numPr>
          <w:ilvl w:val="0"/>
          <w:numId w:val="1025"/>
        </w:numPr>
        <w:pStyle w:val="Compact"/>
      </w:pPr>
      <w:r>
        <w:t xml:space="preserve">Útil para minería, petróleo, gas, campo o construcción en áreas aisladas.</w:t>
      </w:r>
    </w:p>
    <w:bookmarkEnd w:id="60"/>
    <w:bookmarkStart w:id="61" w:name="limitaciones-5"/>
    <w:p>
      <w:pPr>
        <w:pStyle w:val="Heading3"/>
      </w:pPr>
      <w:r>
        <w:t xml:space="preserve">Limitaciones</w:t>
      </w:r>
    </w:p>
    <w:p>
      <w:pPr>
        <w:numPr>
          <w:ilvl w:val="0"/>
          <w:numId w:val="1026"/>
        </w:numPr>
        <w:pStyle w:val="Compact"/>
      </w:pPr>
      <w:r>
        <w:t xml:space="preserve">Costo más elevado.</w:t>
      </w:r>
    </w:p>
    <w:p>
      <w:pPr>
        <w:numPr>
          <w:ilvl w:val="0"/>
          <w:numId w:val="1026"/>
        </w:numPr>
        <w:pStyle w:val="Compact"/>
      </w:pPr>
      <w:r>
        <w:t xml:space="preserve">Mayor consumo energético.</w:t>
      </w:r>
    </w:p>
    <w:p>
      <w:pPr>
        <w:numPr>
          <w:ilvl w:val="0"/>
          <w:numId w:val="1026"/>
        </w:numPr>
        <w:pStyle w:val="Compact"/>
      </w:pPr>
      <w:r>
        <w:t xml:space="preserve">Equipos generalmente más grandes.</w:t>
      </w:r>
    </w:p>
    <w:p>
      <w:pPr>
        <w:numPr>
          <w:ilvl w:val="0"/>
          <w:numId w:val="1026"/>
        </w:numPr>
        <w:pStyle w:val="Compact"/>
      </w:pPr>
      <w:r>
        <w:t xml:space="preserve">Planes de datos más costosos.</w:t>
      </w:r>
    </w:p>
    <w:bookmarkEnd w:id="61"/>
    <w:bookmarkStart w:id="62" w:name="uso-recomendado-5"/>
    <w:p>
      <w:pPr>
        <w:pStyle w:val="Heading3"/>
      </w:pPr>
      <w:r>
        <w:t xml:space="preserve">Uso recomendado</w:t>
      </w:r>
    </w:p>
    <w:p>
      <w:pPr>
        <w:pStyle w:val="FirstParagraph"/>
      </w:pPr>
      <w:r>
        <w:t xml:space="preserve">Solo recomendable cuando los cilindros operan en zonas sin cobertura celular.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78" w:name="alternativas-de-control-físico"/>
    <w:p>
      <w:pPr>
        <w:pStyle w:val="Heading1"/>
      </w:pPr>
      <w:r>
        <w:t xml:space="preserve">5. Alternativas de control físico</w:t>
      </w:r>
    </w:p>
    <w:bookmarkStart w:id="69" w:name="bloqueo-de-válvula"/>
    <w:p>
      <w:pPr>
        <w:pStyle w:val="Heading2"/>
      </w:pPr>
      <w:r>
        <w:t xml:space="preserve">5.1. Bloqueo de válvula</w:t>
      </w:r>
    </w:p>
    <w:bookmarkStart w:id="65" w:name="descripción-6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Existen dispositivos de bloqueo físico que se colocan sobre la válvula del cilindro para impedir su apertura no autorizada.</w:t>
      </w:r>
    </w:p>
    <w:p>
      <w:pPr>
        <w:pStyle w:val="BodyText"/>
      </w:pPr>
      <w:r>
        <w:t xml:space="preserve">Pueden operar mediante:</w:t>
      </w:r>
    </w:p>
    <w:p>
      <w:pPr>
        <w:numPr>
          <w:ilvl w:val="0"/>
          <w:numId w:val="1027"/>
        </w:numPr>
        <w:pStyle w:val="Compact"/>
      </w:pPr>
      <w:r>
        <w:t xml:space="preserve">Llave física.</w:t>
      </w:r>
    </w:p>
    <w:p>
      <w:pPr>
        <w:numPr>
          <w:ilvl w:val="0"/>
          <w:numId w:val="1027"/>
        </w:numPr>
        <w:pStyle w:val="Compact"/>
      </w:pPr>
      <w:r>
        <w:t xml:space="preserve">Candado industrial.</w:t>
      </w:r>
    </w:p>
    <w:p>
      <w:pPr>
        <w:numPr>
          <w:ilvl w:val="0"/>
          <w:numId w:val="1027"/>
        </w:numPr>
        <w:pStyle w:val="Compact"/>
      </w:pPr>
      <w:r>
        <w:t xml:space="preserve">Código.</w:t>
      </w:r>
    </w:p>
    <w:p>
      <w:pPr>
        <w:numPr>
          <w:ilvl w:val="0"/>
          <w:numId w:val="1027"/>
        </w:numPr>
        <w:pStyle w:val="Compact"/>
      </w:pPr>
      <w:r>
        <w:t xml:space="preserve">RFID.</w:t>
      </w:r>
    </w:p>
    <w:p>
      <w:pPr>
        <w:numPr>
          <w:ilvl w:val="0"/>
          <w:numId w:val="1027"/>
        </w:numPr>
        <w:pStyle w:val="Compact"/>
      </w:pPr>
      <w:r>
        <w:t xml:space="preserve">Bluetooth.</w:t>
      </w:r>
    </w:p>
    <w:p>
      <w:pPr>
        <w:numPr>
          <w:ilvl w:val="0"/>
          <w:numId w:val="1027"/>
        </w:numPr>
        <w:pStyle w:val="Compact"/>
      </w:pPr>
      <w:r>
        <w:t xml:space="preserve">Sistema electrónico de autorización.</w:t>
      </w:r>
    </w:p>
    <w:bookmarkEnd w:id="65"/>
    <w:bookmarkStart w:id="66" w:name="ventajas-6"/>
    <w:p>
      <w:pPr>
        <w:pStyle w:val="Heading3"/>
      </w:pPr>
      <w:r>
        <w:t xml:space="preserve">Ventajas</w:t>
      </w:r>
    </w:p>
    <w:p>
      <w:pPr>
        <w:numPr>
          <w:ilvl w:val="0"/>
          <w:numId w:val="1028"/>
        </w:numPr>
        <w:pStyle w:val="Compact"/>
      </w:pPr>
      <w:r>
        <w:t xml:space="preserve">Evita uso no autorizado.</w:t>
      </w:r>
    </w:p>
    <w:p>
      <w:pPr>
        <w:numPr>
          <w:ilvl w:val="0"/>
          <w:numId w:val="1028"/>
        </w:numPr>
        <w:pStyle w:val="Compact"/>
      </w:pPr>
      <w:r>
        <w:t xml:space="preserve">No requiere modificar el cilindro.</w:t>
      </w:r>
    </w:p>
    <w:p>
      <w:pPr>
        <w:numPr>
          <w:ilvl w:val="0"/>
          <w:numId w:val="1028"/>
        </w:numPr>
        <w:pStyle w:val="Compact"/>
      </w:pPr>
      <w:r>
        <w:t xml:space="preserve">Puede integrarse con políticas de seguridad.</w:t>
      </w:r>
    </w:p>
    <w:p>
      <w:pPr>
        <w:numPr>
          <w:ilvl w:val="0"/>
          <w:numId w:val="1028"/>
        </w:numPr>
        <w:pStyle w:val="Compact"/>
      </w:pPr>
      <w:r>
        <w:t xml:space="preserve">Aporta control operativo.</w:t>
      </w:r>
    </w:p>
    <w:bookmarkEnd w:id="66"/>
    <w:bookmarkStart w:id="67" w:name="limitaciones-6"/>
    <w:p>
      <w:pPr>
        <w:pStyle w:val="Heading3"/>
      </w:pPr>
      <w:r>
        <w:t xml:space="preserve">Limitaciones</w:t>
      </w:r>
    </w:p>
    <w:p>
      <w:pPr>
        <w:numPr>
          <w:ilvl w:val="0"/>
          <w:numId w:val="1029"/>
        </w:numPr>
        <w:pStyle w:val="Compact"/>
      </w:pPr>
      <w:r>
        <w:t xml:space="preserve">Debe ser compatible con el tipo de válvula.</w:t>
      </w:r>
    </w:p>
    <w:p>
      <w:pPr>
        <w:numPr>
          <w:ilvl w:val="0"/>
          <w:numId w:val="1029"/>
        </w:numPr>
        <w:pStyle w:val="Compact"/>
      </w:pPr>
      <w:r>
        <w:t xml:space="preserve">Debe permitir una operación segura.</w:t>
      </w:r>
    </w:p>
    <w:p>
      <w:pPr>
        <w:numPr>
          <w:ilvl w:val="0"/>
          <w:numId w:val="1029"/>
        </w:numPr>
        <w:pStyle w:val="Compact"/>
      </w:pPr>
      <w:r>
        <w:t xml:space="preserve">No debe interferir con dispositivos de seguridad del cilindro.</w:t>
      </w:r>
    </w:p>
    <w:p>
      <w:pPr>
        <w:numPr>
          <w:ilvl w:val="0"/>
          <w:numId w:val="1029"/>
        </w:numPr>
        <w:pStyle w:val="Compact"/>
      </w:pPr>
      <w:r>
        <w:t xml:space="preserve">Debe seleccionarse según gas y normativa aplicable.</w:t>
      </w:r>
    </w:p>
    <w:bookmarkEnd w:id="67"/>
    <w:bookmarkStart w:id="68" w:name="uso-recomendado-6"/>
    <w:p>
      <w:pPr>
        <w:pStyle w:val="Heading3"/>
      </w:pPr>
      <w:r>
        <w:t xml:space="preserve">Uso recomendado</w:t>
      </w:r>
    </w:p>
    <w:p>
      <w:pPr>
        <w:pStyle w:val="FirstParagraph"/>
      </w:pPr>
      <w:r>
        <w:t xml:space="preserve">Adecuado para controlar cilindros de:</w:t>
      </w:r>
    </w:p>
    <w:p>
      <w:pPr>
        <w:numPr>
          <w:ilvl w:val="0"/>
          <w:numId w:val="1030"/>
        </w:numPr>
        <w:pStyle w:val="Compact"/>
      </w:pPr>
      <w:r>
        <w:t xml:space="preserve">Alto valor.</w:t>
      </w:r>
    </w:p>
    <w:p>
      <w:pPr>
        <w:numPr>
          <w:ilvl w:val="0"/>
          <w:numId w:val="1030"/>
        </w:numPr>
        <w:pStyle w:val="Compact"/>
      </w:pPr>
      <w:r>
        <w:t xml:space="preserve">Uso restringido.</w:t>
      </w:r>
    </w:p>
    <w:p>
      <w:pPr>
        <w:numPr>
          <w:ilvl w:val="0"/>
          <w:numId w:val="1030"/>
        </w:numPr>
        <w:pStyle w:val="Compact"/>
      </w:pPr>
      <w:r>
        <w:t xml:space="preserve">Áreas sensibles.</w:t>
      </w:r>
    </w:p>
    <w:p>
      <w:pPr>
        <w:numPr>
          <w:ilvl w:val="0"/>
          <w:numId w:val="1030"/>
        </w:numPr>
        <w:pStyle w:val="Compact"/>
      </w:pPr>
      <w:r>
        <w:t xml:space="preserve">Obras con contratistas.</w:t>
      </w:r>
    </w:p>
    <w:p>
      <w:pPr>
        <w:numPr>
          <w:ilvl w:val="0"/>
          <w:numId w:val="1030"/>
        </w:numPr>
        <w:pStyle w:val="Compact"/>
      </w:pPr>
      <w:r>
        <w:t xml:space="preserve">Almacenes compartidos.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X87f588ef1151aec055e6954fa5f82595f05600d"/>
    <w:p>
      <w:pPr>
        <w:pStyle w:val="Heading2"/>
      </w:pPr>
      <w:r>
        <w:t xml:space="preserve">5.2. Candado electrónico o carcasa de protección</w:t>
      </w:r>
    </w:p>
    <w:bookmarkStart w:id="70" w:name="descripción-7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Sistema que restringe el acceso a la tapa, válvula o equipo asociado al cilindro mediante un dispositivo electrónico.</w:t>
      </w:r>
    </w:p>
    <w:bookmarkEnd w:id="70"/>
    <w:bookmarkStart w:id="71" w:name="ventajas-7"/>
    <w:p>
      <w:pPr>
        <w:pStyle w:val="Heading3"/>
      </w:pPr>
      <w:r>
        <w:t xml:space="preserve">Ventajas</w:t>
      </w:r>
    </w:p>
    <w:p>
      <w:pPr>
        <w:numPr>
          <w:ilvl w:val="0"/>
          <w:numId w:val="1031"/>
        </w:numPr>
        <w:pStyle w:val="Compact"/>
      </w:pPr>
      <w:r>
        <w:t xml:space="preserve">Control de acceso por usuario.</w:t>
      </w:r>
    </w:p>
    <w:p>
      <w:pPr>
        <w:numPr>
          <w:ilvl w:val="0"/>
          <w:numId w:val="1031"/>
        </w:numPr>
        <w:pStyle w:val="Compact"/>
      </w:pPr>
      <w:r>
        <w:t xml:space="preserve">Registro de aperturas.</w:t>
      </w:r>
    </w:p>
    <w:p>
      <w:pPr>
        <w:numPr>
          <w:ilvl w:val="0"/>
          <w:numId w:val="1031"/>
        </w:numPr>
        <w:pStyle w:val="Compact"/>
      </w:pPr>
      <w:r>
        <w:t xml:space="preserve">Puede integrarse con una app.</w:t>
      </w:r>
    </w:p>
    <w:p>
      <w:pPr>
        <w:numPr>
          <w:ilvl w:val="0"/>
          <w:numId w:val="1031"/>
        </w:numPr>
        <w:pStyle w:val="Compact"/>
      </w:pPr>
      <w:r>
        <w:t xml:space="preserve">Permite trazabilidad de uso.</w:t>
      </w:r>
    </w:p>
    <w:bookmarkEnd w:id="71"/>
    <w:bookmarkStart w:id="72" w:name="limitaciones-7"/>
    <w:p>
      <w:pPr>
        <w:pStyle w:val="Heading3"/>
      </w:pPr>
      <w:r>
        <w:t xml:space="preserve">Limitaciones</w:t>
      </w:r>
    </w:p>
    <w:p>
      <w:pPr>
        <w:numPr>
          <w:ilvl w:val="0"/>
          <w:numId w:val="1032"/>
        </w:numPr>
        <w:pStyle w:val="Compact"/>
      </w:pPr>
      <w:r>
        <w:t xml:space="preserve">Requiere batería.</w:t>
      </w:r>
    </w:p>
    <w:p>
      <w:pPr>
        <w:numPr>
          <w:ilvl w:val="0"/>
          <w:numId w:val="1032"/>
        </w:numPr>
        <w:pStyle w:val="Compact"/>
      </w:pPr>
      <w:r>
        <w:t xml:space="preserve">Debe ser robusto para ambiente industrial.</w:t>
      </w:r>
    </w:p>
    <w:p>
      <w:pPr>
        <w:numPr>
          <w:ilvl w:val="0"/>
          <w:numId w:val="1032"/>
        </w:numPr>
        <w:pStyle w:val="Compact"/>
      </w:pPr>
      <w:r>
        <w:t xml:space="preserve">Debe evitar interferencia con operación segura del cilindro.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válvula-de-corte-remoto"/>
    <w:p>
      <w:pPr>
        <w:pStyle w:val="Heading2"/>
      </w:pPr>
      <w:r>
        <w:t xml:space="preserve">5.3. Válvula de corte remoto</w:t>
      </w:r>
    </w:p>
    <w:bookmarkStart w:id="74" w:name="descripción-8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En caso de requerirse control remoto del flujo de gas, la opción técnicamente viable y más segura es instalar una válvula de corte certificada en la línea de gas,</w:t>
      </w:r>
      <w:r>
        <w:t xml:space="preserve"> </w:t>
      </w:r>
      <w:r>
        <w:rPr>
          <w:bCs/>
          <w:b/>
        </w:rPr>
        <w:t xml:space="preserve">después del regulador</w:t>
      </w:r>
      <w:r>
        <w:t xml:space="preserve">.</w:t>
      </w:r>
    </w:p>
    <w:p>
      <w:pPr>
        <w:pStyle w:val="BodyText"/>
      </w:pPr>
      <w:r>
        <w:t xml:space="preserve">Configuración recomendada:</w:t>
      </w:r>
    </w:p>
    <w:p>
      <w:pPr>
        <w:pStyle w:val="SourceCode"/>
      </w:pPr>
      <w:r>
        <w:rPr>
          <w:rStyle w:val="VerbatimChar"/>
        </w:rPr>
        <w:t xml:space="preserve">Cilindro → válvula original → regulador → válvula certificada de corte → manguera/equipo de soldadura</w:t>
      </w:r>
    </w:p>
    <w:bookmarkEnd w:id="74"/>
    <w:bookmarkStart w:id="75" w:name="puntos-críticos"/>
    <w:p>
      <w:pPr>
        <w:pStyle w:val="Heading3"/>
      </w:pPr>
      <w:r>
        <w:t xml:space="preserve">Puntos críticos</w:t>
      </w:r>
    </w:p>
    <w:p>
      <w:pPr>
        <w:pStyle w:val="FirstParagraph"/>
      </w:pPr>
      <w:r>
        <w:t xml:space="preserve">No se recomienda instalar una válvula eléctrica directamente sobre la válvula original del cilindro ni modificar componentes del cilindro.</w:t>
      </w:r>
    </w:p>
    <w:p>
      <w:pPr>
        <w:pStyle w:val="BodyText"/>
      </w:pPr>
      <w:r>
        <w:t xml:space="preserve">La válvula de corte debe ser:</w:t>
      </w:r>
    </w:p>
    <w:p>
      <w:pPr>
        <w:numPr>
          <w:ilvl w:val="0"/>
          <w:numId w:val="1033"/>
        </w:numPr>
        <w:pStyle w:val="Compact"/>
      </w:pPr>
      <w:r>
        <w:t xml:space="preserve">Compatible con el gas utilizado.</w:t>
      </w:r>
    </w:p>
    <w:p>
      <w:pPr>
        <w:numPr>
          <w:ilvl w:val="0"/>
          <w:numId w:val="1033"/>
        </w:numPr>
        <w:pStyle w:val="Compact"/>
      </w:pPr>
      <w:r>
        <w:t xml:space="preserve">Compatible con la presión de trabajo.</w:t>
      </w:r>
    </w:p>
    <w:p>
      <w:pPr>
        <w:numPr>
          <w:ilvl w:val="0"/>
          <w:numId w:val="1033"/>
        </w:numPr>
        <w:pStyle w:val="Compact"/>
      </w:pPr>
      <w:r>
        <w:t xml:space="preserve">Certificada para uso industrial.</w:t>
      </w:r>
    </w:p>
    <w:p>
      <w:pPr>
        <w:numPr>
          <w:ilvl w:val="0"/>
          <w:numId w:val="1033"/>
        </w:numPr>
        <w:pStyle w:val="Compact"/>
      </w:pPr>
      <w:r>
        <w:t xml:space="preserve">Adecuada para el ambiente donde operará.</w:t>
      </w:r>
    </w:p>
    <w:p>
      <w:pPr>
        <w:numPr>
          <w:ilvl w:val="0"/>
          <w:numId w:val="1033"/>
        </w:numPr>
        <w:pStyle w:val="Compact"/>
      </w:pPr>
      <w:r>
        <w:t xml:space="preserve">Instalada por personal calificado.</w:t>
      </w:r>
    </w:p>
    <w:bookmarkEnd w:id="75"/>
    <w:bookmarkStart w:id="76" w:name="aplicaciones"/>
    <w:p>
      <w:pPr>
        <w:pStyle w:val="Heading3"/>
      </w:pPr>
      <w:r>
        <w:t xml:space="preserve">Aplicaciones</w:t>
      </w:r>
    </w:p>
    <w:p>
      <w:pPr>
        <w:numPr>
          <w:ilvl w:val="0"/>
          <w:numId w:val="1034"/>
        </w:numPr>
        <w:pStyle w:val="Compact"/>
      </w:pPr>
      <w:r>
        <w:t xml:space="preserve">Corte de suministro fuera de horario.</w:t>
      </w:r>
    </w:p>
    <w:p>
      <w:pPr>
        <w:numPr>
          <w:ilvl w:val="0"/>
          <w:numId w:val="1034"/>
        </w:numPr>
        <w:pStyle w:val="Compact"/>
      </w:pPr>
      <w:r>
        <w:t xml:space="preserve">Autorización remota de uso.</w:t>
      </w:r>
    </w:p>
    <w:p>
      <w:pPr>
        <w:numPr>
          <w:ilvl w:val="0"/>
          <w:numId w:val="1034"/>
        </w:numPr>
        <w:pStyle w:val="Compact"/>
      </w:pPr>
      <w:r>
        <w:t xml:space="preserve">Parada de emergencia.</w:t>
      </w:r>
    </w:p>
    <w:p>
      <w:pPr>
        <w:numPr>
          <w:ilvl w:val="0"/>
          <w:numId w:val="1034"/>
        </w:numPr>
        <w:pStyle w:val="Compact"/>
      </w:pPr>
      <w:r>
        <w:t xml:space="preserve">Control desde sistema centralizado.</w:t>
      </w:r>
    </w:p>
    <w:p>
      <w:pPr>
        <w:numPr>
          <w:ilvl w:val="0"/>
          <w:numId w:val="1034"/>
        </w:numPr>
        <w:pStyle w:val="Compact"/>
      </w:pPr>
      <w:r>
        <w:t xml:space="preserve">Integración con sensores o PLC.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2" w:name="consideraciones-de-seguridad"/>
    <w:p>
      <w:pPr>
        <w:pStyle w:val="Heading1"/>
      </w:pPr>
      <w:r>
        <w:t xml:space="preserve">6. Consideraciones de seguridad</w:t>
      </w:r>
    </w:p>
    <w:p>
      <w:pPr>
        <w:pStyle w:val="FirstParagraph"/>
      </w:pPr>
      <w:r>
        <w:t xml:space="preserve">Los cilindros de gas para soldadura son recipientes presurizados y pueden contener gases inflamables, oxidantes, inertes o combustibles. Por ello, toda solución debe priorizar la seguridad.</w:t>
      </w:r>
    </w:p>
    <w:bookmarkStart w:id="79" w:name="acciones-no-recomendadas"/>
    <w:p>
      <w:pPr>
        <w:pStyle w:val="Heading2"/>
      </w:pPr>
      <w:r>
        <w:t xml:space="preserve">6.1. Acciones no recomendadas</w:t>
      </w:r>
    </w:p>
    <w:p>
      <w:pPr>
        <w:pStyle w:val="FirstParagraph"/>
      </w:pPr>
      <w:r>
        <w:t xml:space="preserve">No se debe:</w:t>
      </w:r>
    </w:p>
    <w:p>
      <w:pPr>
        <w:numPr>
          <w:ilvl w:val="0"/>
          <w:numId w:val="1035"/>
        </w:numPr>
        <w:pStyle w:val="Compact"/>
      </w:pPr>
      <w:r>
        <w:t xml:space="preserve">Perforar el cilindro.</w:t>
      </w:r>
    </w:p>
    <w:p>
      <w:pPr>
        <w:numPr>
          <w:ilvl w:val="0"/>
          <w:numId w:val="1035"/>
        </w:numPr>
        <w:pStyle w:val="Compact"/>
      </w:pPr>
      <w:r>
        <w:t xml:space="preserve">Soldar soportes al cilindro.</w:t>
      </w:r>
    </w:p>
    <w:p>
      <w:pPr>
        <w:numPr>
          <w:ilvl w:val="0"/>
          <w:numId w:val="1035"/>
        </w:numPr>
        <w:pStyle w:val="Compact"/>
      </w:pPr>
      <w:r>
        <w:t xml:space="preserve">Atornillar directamente sobre el cuerpo del tubo.</w:t>
      </w:r>
    </w:p>
    <w:p>
      <w:pPr>
        <w:numPr>
          <w:ilvl w:val="0"/>
          <w:numId w:val="1035"/>
        </w:numPr>
        <w:pStyle w:val="Compact"/>
      </w:pPr>
      <w:r>
        <w:t xml:space="preserve">Modificar la válvula original.</w:t>
      </w:r>
    </w:p>
    <w:p>
      <w:pPr>
        <w:numPr>
          <w:ilvl w:val="0"/>
          <w:numId w:val="1035"/>
        </w:numPr>
        <w:pStyle w:val="Compact"/>
      </w:pPr>
      <w:r>
        <w:t xml:space="preserve">Alterar reguladores sin autorización técnica.</w:t>
      </w:r>
    </w:p>
    <w:p>
      <w:pPr>
        <w:numPr>
          <w:ilvl w:val="0"/>
          <w:numId w:val="1035"/>
        </w:numPr>
        <w:pStyle w:val="Compact"/>
      </w:pPr>
      <w:r>
        <w:t xml:space="preserve">Cubrir etiquetas de identificación.</w:t>
      </w:r>
    </w:p>
    <w:p>
      <w:pPr>
        <w:numPr>
          <w:ilvl w:val="0"/>
          <w:numId w:val="1035"/>
        </w:numPr>
        <w:pStyle w:val="Compact"/>
      </w:pPr>
      <w:r>
        <w:t xml:space="preserve">Tapar marcas de inspección o pruebas hidráulicas.</w:t>
      </w:r>
    </w:p>
    <w:p>
      <w:pPr>
        <w:numPr>
          <w:ilvl w:val="0"/>
          <w:numId w:val="1035"/>
        </w:numPr>
        <w:pStyle w:val="Compact"/>
      </w:pPr>
      <w:r>
        <w:t xml:space="preserve">Instalar equipos eléctricos no certificados en zonas con riesgo de atmósfera explosiva.</w:t>
      </w:r>
    </w:p>
    <w:p>
      <w:pPr>
        <w:numPr>
          <w:ilvl w:val="0"/>
          <w:numId w:val="1035"/>
        </w:numPr>
        <w:pStyle w:val="Compact"/>
      </w:pPr>
      <w:r>
        <w:t xml:space="preserve">Utilizar componentes no compatibles con oxígeno, acetileno u otros gases específicos.</w:t>
      </w:r>
    </w:p>
    <w:bookmarkEnd w:id="79"/>
    <w:bookmarkStart w:id="80" w:name="X2c9802b4c9f1a370cbf7a0ef8d24316eece69e4"/>
    <w:p>
      <w:pPr>
        <w:pStyle w:val="Heading2"/>
      </w:pPr>
      <w:r>
        <w:t xml:space="preserve">6.2. Requisitos recomendados para dispositivos</w:t>
      </w:r>
    </w:p>
    <w:p>
      <w:pPr>
        <w:pStyle w:val="FirstParagraph"/>
      </w:pPr>
      <w:r>
        <w:t xml:space="preserve">Los dispositivos deberían cumplir con:</w:t>
      </w:r>
    </w:p>
    <w:p>
      <w:pPr>
        <w:numPr>
          <w:ilvl w:val="0"/>
          <w:numId w:val="1036"/>
        </w:numPr>
        <w:pStyle w:val="Compact"/>
      </w:pPr>
      <w:r>
        <w:t xml:space="preserve">Protección IP65 o superior para ambiente industrial.</w:t>
      </w:r>
    </w:p>
    <w:p>
      <w:pPr>
        <w:numPr>
          <w:ilvl w:val="0"/>
          <w:numId w:val="1036"/>
        </w:numPr>
        <w:pStyle w:val="Compact"/>
      </w:pPr>
      <w:r>
        <w:t xml:space="preserve">Resistencia a golpes y vibración.</w:t>
      </w:r>
    </w:p>
    <w:p>
      <w:pPr>
        <w:numPr>
          <w:ilvl w:val="0"/>
          <w:numId w:val="1036"/>
        </w:numPr>
        <w:pStyle w:val="Compact"/>
      </w:pPr>
      <w:r>
        <w:t xml:space="preserve">Sujeción mecánica externa mediante abrazadera o collarín.</w:t>
      </w:r>
    </w:p>
    <w:p>
      <w:pPr>
        <w:numPr>
          <w:ilvl w:val="0"/>
          <w:numId w:val="1036"/>
        </w:numPr>
        <w:pStyle w:val="Compact"/>
      </w:pPr>
      <w:r>
        <w:t xml:space="preserve">Batería segura y protegida.</w:t>
      </w:r>
    </w:p>
    <w:p>
      <w:pPr>
        <w:numPr>
          <w:ilvl w:val="0"/>
          <w:numId w:val="1036"/>
        </w:numPr>
        <w:pStyle w:val="Compact"/>
      </w:pPr>
      <w:r>
        <w:t xml:space="preserve">Certificación ATEX o IECEx si aplica.</w:t>
      </w:r>
    </w:p>
    <w:p>
      <w:pPr>
        <w:numPr>
          <w:ilvl w:val="0"/>
          <w:numId w:val="1036"/>
        </w:numPr>
        <w:pStyle w:val="Compact"/>
      </w:pPr>
      <w:r>
        <w:t xml:space="preserve">Compatibilidad electromagnética.</w:t>
      </w:r>
    </w:p>
    <w:p>
      <w:pPr>
        <w:numPr>
          <w:ilvl w:val="0"/>
          <w:numId w:val="1036"/>
        </w:numPr>
        <w:pStyle w:val="Compact"/>
      </w:pPr>
      <w:r>
        <w:t xml:space="preserve">Materiales resistentes a corrosión.</w:t>
      </w:r>
    </w:p>
    <w:p>
      <w:pPr>
        <w:numPr>
          <w:ilvl w:val="0"/>
          <w:numId w:val="1036"/>
        </w:numPr>
        <w:pStyle w:val="Compact"/>
      </w:pPr>
      <w:r>
        <w:t xml:space="preserve">Diseño que no genere chispas ni puntos calientes.</w:t>
      </w:r>
    </w:p>
    <w:bookmarkEnd w:id="80"/>
    <w:bookmarkStart w:id="81" w:name="certificaciones-a-considerar"/>
    <w:p>
      <w:pPr>
        <w:pStyle w:val="Heading2"/>
      </w:pPr>
      <w:r>
        <w:t xml:space="preserve">6.3. Certificaciones a considerar</w:t>
      </w:r>
    </w:p>
    <w:p>
      <w:pPr>
        <w:pStyle w:val="FirstParagraph"/>
      </w:pPr>
      <w:r>
        <w:t xml:space="preserve">Según el país y tipo de operación, podrían ser necesarias certificaciones o referencias como:</w:t>
      </w:r>
    </w:p>
    <w:p>
      <w:pPr>
        <w:numPr>
          <w:ilvl w:val="0"/>
          <w:numId w:val="1037"/>
        </w:numPr>
        <w:pStyle w:val="Compact"/>
      </w:pPr>
      <w:r>
        <w:t xml:space="preserve">ATEX.</w:t>
      </w:r>
    </w:p>
    <w:p>
      <w:pPr>
        <w:numPr>
          <w:ilvl w:val="0"/>
          <w:numId w:val="1037"/>
        </w:numPr>
        <w:pStyle w:val="Compact"/>
      </w:pPr>
      <w:r>
        <w:t xml:space="preserve">IECEx.</w:t>
      </w:r>
    </w:p>
    <w:p>
      <w:pPr>
        <w:numPr>
          <w:ilvl w:val="0"/>
          <w:numId w:val="1037"/>
        </w:numPr>
        <w:pStyle w:val="Compact"/>
      </w:pPr>
      <w:r>
        <w:t xml:space="preserve">Normativa local de seguridad industrial.</w:t>
      </w:r>
    </w:p>
    <w:p>
      <w:pPr>
        <w:numPr>
          <w:ilvl w:val="0"/>
          <w:numId w:val="1037"/>
        </w:numPr>
        <w:pStyle w:val="Compact"/>
      </w:pPr>
      <w:r>
        <w:t xml:space="preserve">Normas para recipientes a presión.</w:t>
      </w:r>
    </w:p>
    <w:p>
      <w:pPr>
        <w:numPr>
          <w:ilvl w:val="0"/>
          <w:numId w:val="1037"/>
        </w:numPr>
        <w:pStyle w:val="Compact"/>
      </w:pPr>
      <w:r>
        <w:t xml:space="preserve">Normativa de gases comprimidos.</w:t>
      </w:r>
    </w:p>
    <w:p>
      <w:pPr>
        <w:numPr>
          <w:ilvl w:val="0"/>
          <w:numId w:val="1037"/>
        </w:numPr>
        <w:pStyle w:val="Compact"/>
      </w:pPr>
      <w:r>
        <w:t xml:space="preserve">Requisitos internos de prevención de riesgos laborales.</w:t>
      </w:r>
    </w:p>
    <w:p>
      <w:pPr>
        <w:numPr>
          <w:ilvl w:val="0"/>
          <w:numId w:val="1037"/>
        </w:numPr>
        <w:pStyle w:val="Compact"/>
      </w:pPr>
      <w:r>
        <w:t xml:space="preserve">Compatibilidad con oxígeno, cuando corresponda.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2" w:name="solución-recomendada"/>
    <w:p>
      <w:pPr>
        <w:pStyle w:val="Heading1"/>
      </w:pPr>
      <w:r>
        <w:t xml:space="preserve">7. Solución recomendada</w:t>
      </w:r>
    </w:p>
    <w:p>
      <w:pPr>
        <w:pStyle w:val="FirstParagraph"/>
      </w:pPr>
      <w:r>
        <w:t xml:space="preserve">Se propone implementar una solución modular en tres niveles.</w:t>
      </w:r>
    </w:p>
    <w:p>
      <w:r>
        <w:pict>
          <v:rect style="width:0;height:1.5pt" o:hralign="center" o:hrstd="t" o:hr="t"/>
        </w:pict>
      </w:r>
    </w:p>
    <w:bookmarkStart w:id="85" w:name="nivel-1-identificación-e-inventario"/>
    <w:p>
      <w:pPr>
        <w:pStyle w:val="Heading2"/>
      </w:pPr>
      <w:r>
        <w:t xml:space="preserve">Nivel 1: Identificación e inventario</w:t>
      </w:r>
    </w:p>
    <w:bookmarkStart w:id="83" w:name="componentes"/>
    <w:p>
      <w:pPr>
        <w:pStyle w:val="Heading3"/>
      </w:pPr>
      <w:r>
        <w:t xml:space="preserve">Componentes</w:t>
      </w:r>
    </w:p>
    <w:p>
      <w:pPr>
        <w:numPr>
          <w:ilvl w:val="0"/>
          <w:numId w:val="1038"/>
        </w:numPr>
        <w:pStyle w:val="Compact"/>
      </w:pPr>
      <w:r>
        <w:t xml:space="preserve">Etiqueta RFID o NFC por cilindro.</w:t>
      </w:r>
    </w:p>
    <w:p>
      <w:pPr>
        <w:numPr>
          <w:ilvl w:val="0"/>
          <w:numId w:val="1038"/>
        </w:numPr>
        <w:pStyle w:val="Compact"/>
      </w:pPr>
      <w:r>
        <w:t xml:space="preserve">Registro digital de cada tubo.</w:t>
      </w:r>
    </w:p>
    <w:p>
      <w:pPr>
        <w:numPr>
          <w:ilvl w:val="0"/>
          <w:numId w:val="1038"/>
        </w:numPr>
        <w:pStyle w:val="Compact"/>
      </w:pPr>
      <w:r>
        <w:t xml:space="preserve">Base de datos con:</w:t>
      </w:r>
    </w:p>
    <w:p>
      <w:pPr>
        <w:numPr>
          <w:ilvl w:val="1"/>
          <w:numId w:val="1039"/>
        </w:numPr>
        <w:pStyle w:val="Compact"/>
      </w:pPr>
      <w:r>
        <w:t xml:space="preserve">Número interno.</w:t>
      </w:r>
    </w:p>
    <w:p>
      <w:pPr>
        <w:numPr>
          <w:ilvl w:val="1"/>
          <w:numId w:val="1039"/>
        </w:numPr>
        <w:pStyle w:val="Compact"/>
      </w:pPr>
      <w:r>
        <w:t xml:space="preserve">Tipo de gas.</w:t>
      </w:r>
    </w:p>
    <w:p>
      <w:pPr>
        <w:numPr>
          <w:ilvl w:val="1"/>
          <w:numId w:val="1039"/>
        </w:numPr>
        <w:pStyle w:val="Compact"/>
      </w:pPr>
      <w:r>
        <w:t xml:space="preserve">Proveedor.</w:t>
      </w:r>
    </w:p>
    <w:p>
      <w:pPr>
        <w:numPr>
          <w:ilvl w:val="1"/>
          <w:numId w:val="1039"/>
        </w:numPr>
        <w:pStyle w:val="Compact"/>
      </w:pPr>
      <w:r>
        <w:t xml:space="preserve">Capacidad.</w:t>
      </w:r>
    </w:p>
    <w:p>
      <w:pPr>
        <w:numPr>
          <w:ilvl w:val="1"/>
          <w:numId w:val="1039"/>
        </w:numPr>
        <w:pStyle w:val="Compact"/>
      </w:pPr>
      <w:r>
        <w:t xml:space="preserve">Fecha de alta.</w:t>
      </w:r>
    </w:p>
    <w:p>
      <w:pPr>
        <w:numPr>
          <w:ilvl w:val="1"/>
          <w:numId w:val="1039"/>
        </w:numPr>
        <w:pStyle w:val="Compact"/>
      </w:pPr>
      <w:r>
        <w:t xml:space="preserve">Estado.</w:t>
      </w:r>
    </w:p>
    <w:p>
      <w:pPr>
        <w:numPr>
          <w:ilvl w:val="1"/>
          <w:numId w:val="1039"/>
        </w:numPr>
        <w:pStyle w:val="Compact"/>
      </w:pPr>
      <w:r>
        <w:t xml:space="preserve">Ubicación asignada.</w:t>
      </w:r>
    </w:p>
    <w:p>
      <w:pPr>
        <w:numPr>
          <w:ilvl w:val="1"/>
          <w:numId w:val="1039"/>
        </w:numPr>
        <w:pStyle w:val="Compact"/>
      </w:pPr>
      <w:r>
        <w:t xml:space="preserve">Responsable.</w:t>
      </w:r>
    </w:p>
    <w:p>
      <w:pPr>
        <w:numPr>
          <w:ilvl w:val="1"/>
          <w:numId w:val="1039"/>
        </w:numPr>
        <w:pStyle w:val="Compact"/>
      </w:pPr>
      <w:r>
        <w:t xml:space="preserve">Fecha de última inspección.</w:t>
      </w:r>
    </w:p>
    <w:bookmarkEnd w:id="83"/>
    <w:bookmarkStart w:id="84" w:name="beneficios"/>
    <w:p>
      <w:pPr>
        <w:pStyle w:val="Heading3"/>
      </w:pPr>
      <w:r>
        <w:t xml:space="preserve">Beneficios</w:t>
      </w:r>
    </w:p>
    <w:p>
      <w:pPr>
        <w:numPr>
          <w:ilvl w:val="0"/>
          <w:numId w:val="1040"/>
        </w:numPr>
        <w:pStyle w:val="Compact"/>
      </w:pPr>
      <w:r>
        <w:t xml:space="preserve">Control de inventario inmediato.</w:t>
      </w:r>
    </w:p>
    <w:p>
      <w:pPr>
        <w:numPr>
          <w:ilvl w:val="0"/>
          <w:numId w:val="1040"/>
        </w:numPr>
        <w:pStyle w:val="Compact"/>
      </w:pPr>
      <w:r>
        <w:t xml:space="preserve">Reducción de pérdidas administrativas.</w:t>
      </w:r>
    </w:p>
    <w:p>
      <w:pPr>
        <w:numPr>
          <w:ilvl w:val="0"/>
          <w:numId w:val="1040"/>
        </w:numPr>
        <w:pStyle w:val="Compact"/>
      </w:pPr>
      <w:r>
        <w:t xml:space="preserve">Mejor trazabilidad.</w:t>
      </w:r>
    </w:p>
    <w:p>
      <w:pPr>
        <w:numPr>
          <w:ilvl w:val="0"/>
          <w:numId w:val="1040"/>
        </w:numPr>
        <w:pStyle w:val="Compact"/>
      </w:pPr>
      <w:r>
        <w:t xml:space="preserve">Bajo costo inicial.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nivel-2-geolocalización-y-alertas"/>
    <w:p>
      <w:pPr>
        <w:pStyle w:val="Heading2"/>
      </w:pPr>
      <w:r>
        <w:t xml:space="preserve">Nivel 2: Geolocalización y alertas</w:t>
      </w:r>
    </w:p>
    <w:bookmarkStart w:id="86" w:name="componentes-1"/>
    <w:p>
      <w:pPr>
        <w:pStyle w:val="Heading3"/>
      </w:pPr>
      <w:r>
        <w:t xml:space="preserve">Componentes</w:t>
      </w:r>
    </w:p>
    <w:p>
      <w:pPr>
        <w:numPr>
          <w:ilvl w:val="0"/>
          <w:numId w:val="1041"/>
        </w:numPr>
        <w:pStyle w:val="Compact"/>
      </w:pPr>
      <w:r>
        <w:t xml:space="preserve">Tracker GPS/IoT externo.</w:t>
      </w:r>
    </w:p>
    <w:p>
      <w:pPr>
        <w:numPr>
          <w:ilvl w:val="0"/>
          <w:numId w:val="1041"/>
        </w:numPr>
        <w:pStyle w:val="Compact"/>
      </w:pPr>
      <w:r>
        <w:t xml:space="preserve">Plataforma web o móvil.</w:t>
      </w:r>
    </w:p>
    <w:p>
      <w:pPr>
        <w:numPr>
          <w:ilvl w:val="0"/>
          <w:numId w:val="1041"/>
        </w:numPr>
        <w:pStyle w:val="Compact"/>
      </w:pPr>
      <w:r>
        <w:t xml:space="preserve">Geocercas.</w:t>
      </w:r>
    </w:p>
    <w:p>
      <w:pPr>
        <w:numPr>
          <w:ilvl w:val="0"/>
          <w:numId w:val="1041"/>
        </w:numPr>
        <w:pStyle w:val="Compact"/>
      </w:pPr>
      <w:r>
        <w:t xml:space="preserve">Alertas por movimiento.</w:t>
      </w:r>
    </w:p>
    <w:p>
      <w:pPr>
        <w:numPr>
          <w:ilvl w:val="0"/>
          <w:numId w:val="1041"/>
        </w:numPr>
        <w:pStyle w:val="Compact"/>
      </w:pPr>
      <w:r>
        <w:t xml:space="preserve">Historial de rutas.</w:t>
      </w:r>
    </w:p>
    <w:bookmarkEnd w:id="86"/>
    <w:bookmarkStart w:id="87" w:name="beneficios-1"/>
    <w:p>
      <w:pPr>
        <w:pStyle w:val="Heading3"/>
      </w:pPr>
      <w:r>
        <w:t xml:space="preserve">Beneficios</w:t>
      </w:r>
    </w:p>
    <w:p>
      <w:pPr>
        <w:numPr>
          <w:ilvl w:val="0"/>
          <w:numId w:val="1042"/>
        </w:numPr>
        <w:pStyle w:val="Compact"/>
      </w:pPr>
      <w:r>
        <w:t xml:space="preserve">Localización en tiempo real.</w:t>
      </w:r>
    </w:p>
    <w:p>
      <w:pPr>
        <w:numPr>
          <w:ilvl w:val="0"/>
          <w:numId w:val="1042"/>
        </w:numPr>
        <w:pStyle w:val="Compact"/>
      </w:pPr>
      <w:r>
        <w:t xml:space="preserve">Prevención de robo.</w:t>
      </w:r>
    </w:p>
    <w:p>
      <w:pPr>
        <w:numPr>
          <w:ilvl w:val="0"/>
          <w:numId w:val="1042"/>
        </w:numPr>
        <w:pStyle w:val="Compact"/>
      </w:pPr>
      <w:r>
        <w:t xml:space="preserve">Control de cilindros en obras.</w:t>
      </w:r>
    </w:p>
    <w:p>
      <w:pPr>
        <w:numPr>
          <w:ilvl w:val="0"/>
          <w:numId w:val="1042"/>
        </w:numPr>
        <w:pStyle w:val="Compact"/>
      </w:pPr>
      <w:r>
        <w:t xml:space="preserve">Reducción de tiempos de búsqueda.</w:t>
      </w:r>
    </w:p>
    <w:p>
      <w:pPr>
        <w:numPr>
          <w:ilvl w:val="0"/>
          <w:numId w:val="1042"/>
        </w:numPr>
        <w:pStyle w:val="Compact"/>
      </w:pPr>
      <w:r>
        <w:t xml:space="preserve">Mayor control logístico.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nivel-3-control-de-acceso-y-uso"/>
    <w:p>
      <w:pPr>
        <w:pStyle w:val="Heading2"/>
      </w:pPr>
      <w:r>
        <w:t xml:space="preserve">Nivel 3: Control de acceso y uso</w:t>
      </w:r>
    </w:p>
    <w:bookmarkStart w:id="89" w:name="componentes-2"/>
    <w:p>
      <w:pPr>
        <w:pStyle w:val="Heading3"/>
      </w:pPr>
      <w:r>
        <w:t xml:space="preserve">Componentes</w:t>
      </w:r>
    </w:p>
    <w:p>
      <w:pPr>
        <w:numPr>
          <w:ilvl w:val="0"/>
          <w:numId w:val="1043"/>
        </w:numPr>
        <w:pStyle w:val="Compact"/>
      </w:pPr>
      <w:r>
        <w:t xml:space="preserve">Bloqueo físico de válvula.</w:t>
      </w:r>
    </w:p>
    <w:p>
      <w:pPr>
        <w:numPr>
          <w:ilvl w:val="0"/>
          <w:numId w:val="1043"/>
        </w:numPr>
        <w:pStyle w:val="Compact"/>
      </w:pPr>
      <w:r>
        <w:t xml:space="preserve">Candado electrónico o sistema RFID.</w:t>
      </w:r>
    </w:p>
    <w:p>
      <w:pPr>
        <w:numPr>
          <w:ilvl w:val="0"/>
          <w:numId w:val="1043"/>
        </w:numPr>
        <w:pStyle w:val="Compact"/>
      </w:pPr>
      <w:r>
        <w:t xml:space="preserve">Registro de usuario autorizado.</w:t>
      </w:r>
    </w:p>
    <w:p>
      <w:pPr>
        <w:numPr>
          <w:ilvl w:val="0"/>
          <w:numId w:val="1043"/>
        </w:numPr>
        <w:pStyle w:val="Compact"/>
      </w:pPr>
      <w:r>
        <w:t xml:space="preserve">Eventual válvula de corte certificada en línea, después del regulador.</w:t>
      </w:r>
    </w:p>
    <w:bookmarkEnd w:id="89"/>
    <w:bookmarkStart w:id="90" w:name="beneficios-2"/>
    <w:p>
      <w:pPr>
        <w:pStyle w:val="Heading3"/>
      </w:pPr>
      <w:r>
        <w:t xml:space="preserve">Beneficios</w:t>
      </w:r>
    </w:p>
    <w:p>
      <w:pPr>
        <w:numPr>
          <w:ilvl w:val="0"/>
          <w:numId w:val="1044"/>
        </w:numPr>
        <w:pStyle w:val="Compact"/>
      </w:pPr>
      <w:r>
        <w:t xml:space="preserve">Evita uso no autorizado.</w:t>
      </w:r>
    </w:p>
    <w:p>
      <w:pPr>
        <w:numPr>
          <w:ilvl w:val="0"/>
          <w:numId w:val="1044"/>
        </w:numPr>
        <w:pStyle w:val="Compact"/>
      </w:pPr>
      <w:r>
        <w:t xml:space="preserve">Mejora seguridad.</w:t>
      </w:r>
    </w:p>
    <w:p>
      <w:pPr>
        <w:numPr>
          <w:ilvl w:val="0"/>
          <w:numId w:val="1044"/>
        </w:numPr>
        <w:pStyle w:val="Compact"/>
      </w:pPr>
      <w:r>
        <w:t xml:space="preserve">Controla consumo y disponibilidad.</w:t>
      </w:r>
    </w:p>
    <w:p>
      <w:pPr>
        <w:numPr>
          <w:ilvl w:val="0"/>
          <w:numId w:val="1044"/>
        </w:numPr>
        <w:pStyle w:val="Compact"/>
      </w:pPr>
      <w:r>
        <w:t xml:space="preserve">Permite trazabilidad por usuario o área.</w:t>
      </w:r>
    </w:p>
    <w:p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93" w:name="arquitectura-conceptual-del-sistema"/>
    <w:p>
      <w:pPr>
        <w:pStyle w:val="Heading1"/>
      </w:pPr>
      <w:r>
        <w:t xml:space="preserve">8. Arquitectura conceptual del sistema</w:t>
      </w:r>
    </w:p>
    <w:p>
      <w:pPr>
        <w:pStyle w:val="SourceCode"/>
      </w:pPr>
      <w:r>
        <w:rPr>
          <w:rStyle w:val="VerbatimChar"/>
        </w:rPr>
        <w:t xml:space="preserve">Cilindro de gas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Identificación RFID/NFC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Tracker GPS / BLE / LoRaWAN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Sensor de movimiento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Bloqueo físico de válvula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Plataforma digital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├── Mapa de ubicación</w:t>
      </w:r>
      <w:r>
        <w:br/>
      </w:r>
      <w:r>
        <w:rPr>
          <w:rStyle w:val="VerbatimChar"/>
        </w:rPr>
        <w:t xml:space="preserve">          ├── Inventario</w:t>
      </w:r>
      <w:r>
        <w:br/>
      </w:r>
      <w:r>
        <w:rPr>
          <w:rStyle w:val="VerbatimChar"/>
        </w:rPr>
        <w:t xml:space="preserve">          ├── Alertas</w:t>
      </w:r>
      <w:r>
        <w:br/>
      </w:r>
      <w:r>
        <w:rPr>
          <w:rStyle w:val="VerbatimChar"/>
        </w:rPr>
        <w:t xml:space="preserve">          ├── Historial de movimientos</w:t>
      </w:r>
      <w:r>
        <w:br/>
      </w:r>
      <w:r>
        <w:rPr>
          <w:rStyle w:val="VerbatimChar"/>
        </w:rPr>
        <w:t xml:space="preserve">          ├── Usuarios autorizados</w:t>
      </w:r>
      <w:r>
        <w:br/>
      </w:r>
      <w:r>
        <w:rPr>
          <w:rStyle w:val="VerbatimChar"/>
        </w:rPr>
        <w:t xml:space="preserve">          └── Reportes para gestión</w:t>
      </w:r>
    </w:p>
    <w:p>
      <w:r>
        <w:pict>
          <v:rect style="width:0;height:1.5pt" o:hralign="center" o:hrstd="t" o:hr="t"/>
        </w:pict>
      </w:r>
    </w:p>
    <w:bookmarkEnd w:id="93"/>
    <w:bookmarkStart w:id="94" w:name="funcionalidades-esperadas"/>
    <w:p>
      <w:pPr>
        <w:pStyle w:val="Heading1"/>
      </w:pPr>
      <w:r>
        <w:t xml:space="preserve">9. Funcionalidades esperadas</w:t>
      </w:r>
    </w:p>
    <w:p>
      <w:pPr>
        <w:pStyle w:val="FirstParagraph"/>
      </w:pPr>
      <w:r>
        <w:t xml:space="preserve">El sistema debería permitir:</w:t>
      </w:r>
    </w:p>
    <w:p>
      <w:pPr>
        <w:numPr>
          <w:ilvl w:val="0"/>
          <w:numId w:val="1045"/>
        </w:numPr>
        <w:pStyle w:val="Compact"/>
      </w:pPr>
      <w:r>
        <w:t xml:space="preserve">Visualizar cilindros en mapa.</w:t>
      </w:r>
    </w:p>
    <w:p>
      <w:pPr>
        <w:numPr>
          <w:ilvl w:val="0"/>
          <w:numId w:val="1045"/>
        </w:numPr>
        <w:pStyle w:val="Compact"/>
      </w:pPr>
      <w:r>
        <w:t xml:space="preserve">Consultar estado de cada cilindro.</w:t>
      </w:r>
    </w:p>
    <w:p>
      <w:pPr>
        <w:numPr>
          <w:ilvl w:val="0"/>
          <w:numId w:val="1045"/>
        </w:numPr>
        <w:pStyle w:val="Compact"/>
      </w:pPr>
      <w:r>
        <w:t xml:space="preserve">Configurar zonas autorizadas.</w:t>
      </w:r>
    </w:p>
    <w:p>
      <w:pPr>
        <w:numPr>
          <w:ilvl w:val="0"/>
          <w:numId w:val="1045"/>
        </w:numPr>
        <w:pStyle w:val="Compact"/>
      </w:pPr>
      <w:r>
        <w:t xml:space="preserve">Recibir alertas por salida de zona.</w:t>
      </w:r>
    </w:p>
    <w:p>
      <w:pPr>
        <w:numPr>
          <w:ilvl w:val="0"/>
          <w:numId w:val="1045"/>
        </w:numPr>
        <w:pStyle w:val="Compact"/>
      </w:pPr>
      <w:r>
        <w:t xml:space="preserve">Detectar movimiento no autorizado.</w:t>
      </w:r>
    </w:p>
    <w:p>
      <w:pPr>
        <w:numPr>
          <w:ilvl w:val="0"/>
          <w:numId w:val="1045"/>
        </w:numPr>
        <w:pStyle w:val="Compact"/>
      </w:pPr>
      <w:r>
        <w:t xml:space="preserve">Registrar responsable asignado.</w:t>
      </w:r>
    </w:p>
    <w:p>
      <w:pPr>
        <w:numPr>
          <w:ilvl w:val="0"/>
          <w:numId w:val="1045"/>
        </w:numPr>
        <w:pStyle w:val="Compact"/>
      </w:pPr>
      <w:r>
        <w:t xml:space="preserve">Consultar historial de ubicación.</w:t>
      </w:r>
    </w:p>
    <w:p>
      <w:pPr>
        <w:numPr>
          <w:ilvl w:val="0"/>
          <w:numId w:val="1045"/>
        </w:numPr>
        <w:pStyle w:val="Compact"/>
      </w:pPr>
      <w:r>
        <w:t xml:space="preserve">Integrar datos con mantenimiento, compras o almacén.</w:t>
      </w:r>
    </w:p>
    <w:p>
      <w:pPr>
        <w:numPr>
          <w:ilvl w:val="0"/>
          <w:numId w:val="1045"/>
        </w:numPr>
        <w:pStyle w:val="Compact"/>
      </w:pPr>
      <w:r>
        <w:t xml:space="preserve">Emitir reportes de disponibilidad.</w:t>
      </w:r>
    </w:p>
    <w:p>
      <w:pPr>
        <w:numPr>
          <w:ilvl w:val="0"/>
          <w:numId w:val="1045"/>
        </w:numPr>
        <w:pStyle w:val="Compact"/>
      </w:pPr>
      <w:r>
        <w:t xml:space="preserve">Controlar cilindros por obra, área o contratista.</w:t>
      </w:r>
    </w:p>
    <w:p>
      <w:r>
        <w:pict>
          <v:rect style="width:0;height:1.5pt" o:hralign="center" o:hrstd="t" o:hr="t"/>
        </w:pict>
      </w:r>
    </w:p>
    <w:bookmarkEnd w:id="94"/>
    <w:bookmarkStart w:id="99" w:name="beneficios-para-la-empresa"/>
    <w:p>
      <w:pPr>
        <w:pStyle w:val="Heading1"/>
      </w:pPr>
      <w:r>
        <w:t xml:space="preserve">10. Beneficios para la empresa</w:t>
      </w:r>
    </w:p>
    <w:bookmarkStart w:id="95" w:name="operativos"/>
    <w:p>
      <w:pPr>
        <w:pStyle w:val="Heading2"/>
      </w:pPr>
      <w:r>
        <w:t xml:space="preserve">10.1. Operativos</w:t>
      </w:r>
    </w:p>
    <w:p>
      <w:pPr>
        <w:numPr>
          <w:ilvl w:val="0"/>
          <w:numId w:val="1046"/>
        </w:numPr>
        <w:pStyle w:val="Compact"/>
      </w:pPr>
      <w:r>
        <w:t xml:space="preserve">Menor tiempo de búsqueda de cilindros.</w:t>
      </w:r>
    </w:p>
    <w:p>
      <w:pPr>
        <w:numPr>
          <w:ilvl w:val="0"/>
          <w:numId w:val="1046"/>
        </w:numPr>
        <w:pStyle w:val="Compact"/>
      </w:pPr>
      <w:r>
        <w:t xml:space="preserve">Mejor disponibilidad para producción.</w:t>
      </w:r>
    </w:p>
    <w:p>
      <w:pPr>
        <w:numPr>
          <w:ilvl w:val="0"/>
          <w:numId w:val="1046"/>
        </w:numPr>
        <w:pStyle w:val="Compact"/>
      </w:pPr>
      <w:r>
        <w:t xml:space="preserve">Control centralizado.</w:t>
      </w:r>
    </w:p>
    <w:p>
      <w:pPr>
        <w:numPr>
          <w:ilvl w:val="0"/>
          <w:numId w:val="1046"/>
        </w:numPr>
        <w:pStyle w:val="Compact"/>
      </w:pPr>
      <w:r>
        <w:t xml:space="preserve">Reducción de pérdidas.</w:t>
      </w:r>
    </w:p>
    <w:p>
      <w:pPr>
        <w:numPr>
          <w:ilvl w:val="0"/>
          <w:numId w:val="1046"/>
        </w:numPr>
        <w:pStyle w:val="Compact"/>
      </w:pPr>
      <w:r>
        <w:t xml:space="preserve">Optimización de inventario.</w:t>
      </w:r>
    </w:p>
    <w:bookmarkEnd w:id="95"/>
    <w:bookmarkStart w:id="96" w:name="económicos"/>
    <w:p>
      <w:pPr>
        <w:pStyle w:val="Heading2"/>
      </w:pPr>
      <w:r>
        <w:t xml:space="preserve">10.2. Económicos</w:t>
      </w:r>
    </w:p>
    <w:p>
      <w:pPr>
        <w:numPr>
          <w:ilvl w:val="0"/>
          <w:numId w:val="1047"/>
        </w:numPr>
        <w:pStyle w:val="Compact"/>
      </w:pPr>
      <w:r>
        <w:t xml:space="preserve">Menor reposición por extravíos.</w:t>
      </w:r>
    </w:p>
    <w:p>
      <w:pPr>
        <w:numPr>
          <w:ilvl w:val="0"/>
          <w:numId w:val="1047"/>
        </w:numPr>
        <w:pStyle w:val="Compact"/>
      </w:pPr>
      <w:r>
        <w:t xml:space="preserve">Reducción de alquileres innecesarios.</w:t>
      </w:r>
    </w:p>
    <w:p>
      <w:pPr>
        <w:numPr>
          <w:ilvl w:val="0"/>
          <w:numId w:val="1047"/>
        </w:numPr>
        <w:pStyle w:val="Compact"/>
      </w:pPr>
      <w:r>
        <w:t xml:space="preserve">Mejor control de activos.</w:t>
      </w:r>
    </w:p>
    <w:p>
      <w:pPr>
        <w:numPr>
          <w:ilvl w:val="0"/>
          <w:numId w:val="1047"/>
        </w:numPr>
        <w:pStyle w:val="Compact"/>
      </w:pPr>
      <w:r>
        <w:t xml:space="preserve">Posible reducción de sobrestock.</w:t>
      </w:r>
    </w:p>
    <w:p>
      <w:pPr>
        <w:numPr>
          <w:ilvl w:val="0"/>
          <w:numId w:val="1047"/>
        </w:numPr>
        <w:pStyle w:val="Compact"/>
      </w:pPr>
      <w:r>
        <w:t xml:space="preserve">Disminución de consumos no controlados.</w:t>
      </w:r>
    </w:p>
    <w:bookmarkEnd w:id="96"/>
    <w:bookmarkStart w:id="97" w:name="seguridad-1"/>
    <w:p>
      <w:pPr>
        <w:pStyle w:val="Heading2"/>
      </w:pPr>
      <w:r>
        <w:t xml:space="preserve">10.3. Seguridad</w:t>
      </w:r>
    </w:p>
    <w:p>
      <w:pPr>
        <w:numPr>
          <w:ilvl w:val="0"/>
          <w:numId w:val="1048"/>
        </w:numPr>
        <w:pStyle w:val="Compact"/>
      </w:pPr>
      <w:r>
        <w:t xml:space="preserve">Menor riesgo por manipulación indebida.</w:t>
      </w:r>
    </w:p>
    <w:p>
      <w:pPr>
        <w:numPr>
          <w:ilvl w:val="0"/>
          <w:numId w:val="1048"/>
        </w:numPr>
        <w:pStyle w:val="Compact"/>
      </w:pPr>
      <w:r>
        <w:t xml:space="preserve">Control de acceso a gases críticos.</w:t>
      </w:r>
    </w:p>
    <w:p>
      <w:pPr>
        <w:numPr>
          <w:ilvl w:val="0"/>
          <w:numId w:val="1048"/>
        </w:numPr>
        <w:pStyle w:val="Compact"/>
      </w:pPr>
      <w:r>
        <w:t xml:space="preserve">Trazabilidad ante incidentes.</w:t>
      </w:r>
    </w:p>
    <w:p>
      <w:pPr>
        <w:numPr>
          <w:ilvl w:val="0"/>
          <w:numId w:val="1048"/>
        </w:numPr>
        <w:pStyle w:val="Compact"/>
      </w:pPr>
      <w:r>
        <w:t xml:space="preserve">Mayor cumplimiento normativo.</w:t>
      </w:r>
    </w:p>
    <w:bookmarkEnd w:id="97"/>
    <w:bookmarkStart w:id="98" w:name="gestión"/>
    <w:p>
      <w:pPr>
        <w:pStyle w:val="Heading2"/>
      </w:pPr>
      <w:r>
        <w:t xml:space="preserve">10.4. Gestión</w:t>
      </w:r>
    </w:p>
    <w:p>
      <w:pPr>
        <w:numPr>
          <w:ilvl w:val="0"/>
          <w:numId w:val="1049"/>
        </w:numPr>
        <w:pStyle w:val="Compact"/>
      </w:pPr>
      <w:r>
        <w:t xml:space="preserve">Información disponible en tiempo real.</w:t>
      </w:r>
    </w:p>
    <w:p>
      <w:pPr>
        <w:numPr>
          <w:ilvl w:val="0"/>
          <w:numId w:val="1049"/>
        </w:numPr>
        <w:pStyle w:val="Compact"/>
      </w:pPr>
      <w:r>
        <w:t xml:space="preserve">Reportes para auditoría.</w:t>
      </w:r>
    </w:p>
    <w:p>
      <w:pPr>
        <w:numPr>
          <w:ilvl w:val="0"/>
          <w:numId w:val="1049"/>
        </w:numPr>
        <w:pStyle w:val="Compact"/>
      </w:pPr>
      <w:r>
        <w:t xml:space="preserve">Registro histórico.</w:t>
      </w:r>
    </w:p>
    <w:p>
      <w:pPr>
        <w:numPr>
          <w:ilvl w:val="0"/>
          <w:numId w:val="1049"/>
        </w:numPr>
        <w:pStyle w:val="Compact"/>
      </w:pPr>
      <w:r>
        <w:t xml:space="preserve">Mejor asignación de responsabilidades.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riesgos-y-mitigaciones"/>
    <w:p>
      <w:pPr>
        <w:pStyle w:val="Heading1"/>
      </w:pPr>
      <w:r>
        <w:t xml:space="preserve">11. Riesgos y mitigaciones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c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p>
            <w:pPr>
              <w:pStyle w:val="Compact"/>
              <w:jc w:val="right"/>
            </w:pPr>
            <w:r>
              <w:t xml:space="preserve">Impacto</w:t>
            </w:r>
          </w:p>
        </w:tc>
        <w:tc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Instalación de equipos no certificados</w:t>
            </w:r>
          </w:p>
        </w:tc>
        <w:tc>
          <w:p>
            <w:pPr>
              <w:pStyle w:val="Compact"/>
              <w:jc w:val="righ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Utilizar dispositivos industriales y certificados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Interferencia con válvula o regulador</w:t>
            </w:r>
          </w:p>
        </w:tc>
        <w:tc>
          <w:p>
            <w:pPr>
              <w:pStyle w:val="Compact"/>
              <w:jc w:val="right"/>
            </w:pPr>
            <w:r>
              <w:t xml:space="preserve">Alto</w:t>
            </w:r>
          </w:p>
        </w:tc>
        <w:tc>
          <w:p>
            <w:pPr>
              <w:pStyle w:val="Compact"/>
              <w:jc w:val="left"/>
            </w:pPr>
            <w:r>
              <w:t xml:space="preserve">No modificar cilindro ni válvula original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Pérdida de señal GPS en interiores</w:t>
            </w:r>
          </w:p>
        </w:tc>
        <w:tc>
          <w:p>
            <w:pPr>
              <w:pStyle w:val="Compact"/>
              <w:jc w:val="right"/>
            </w:pPr>
            <w:r>
              <w:t xml:space="preserve">Medio</w:t>
            </w:r>
          </w:p>
        </w:tc>
        <w:tc>
          <w:p>
            <w:pPr>
              <w:pStyle w:val="Compact"/>
              <w:jc w:val="left"/>
            </w:pPr>
            <w:r>
              <w:t xml:space="preserve">Complementar con BLE, RFID o LoRaWAN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Falta de cobertura celular</w:t>
            </w:r>
          </w:p>
        </w:tc>
        <w:tc>
          <w:p>
            <w:pPr>
              <w:pStyle w:val="Compact"/>
              <w:jc w:val="right"/>
            </w:pPr>
            <w:r>
              <w:t xml:space="preserve">Medio</w:t>
            </w:r>
          </w:p>
        </w:tc>
        <w:tc>
          <w:p>
            <w:pPr>
              <w:pStyle w:val="Compact"/>
              <w:jc w:val="left"/>
            </w:pPr>
            <w:r>
              <w:t xml:space="preserve">Evaluar LoRaWAN o satelital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Baterías agotadas</w:t>
            </w:r>
          </w:p>
        </w:tc>
        <w:tc>
          <w:p>
            <w:pPr>
              <w:pStyle w:val="Compact"/>
              <w:jc w:val="right"/>
            </w:pPr>
            <w:r>
              <w:t xml:space="preserve">Medio</w:t>
            </w:r>
          </w:p>
        </w:tc>
        <w:tc>
          <w:p>
            <w:pPr>
              <w:pStyle w:val="Compact"/>
              <w:jc w:val="left"/>
            </w:pPr>
            <w:r>
              <w:t xml:space="preserve">Plan de mantenimiento y alertas de batería baja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Manipulación o retiro del tracker</w:t>
            </w:r>
          </w:p>
        </w:tc>
        <w:tc>
          <w:p>
            <w:pPr>
              <w:pStyle w:val="Compact"/>
              <w:jc w:val="right"/>
            </w:pPr>
            <w:r>
              <w:t xml:space="preserve">Medio</w:t>
            </w:r>
          </w:p>
        </w:tc>
        <w:tc>
          <w:p>
            <w:pPr>
              <w:pStyle w:val="Compact"/>
              <w:jc w:val="left"/>
            </w:pPr>
            <w:r>
              <w:t xml:space="preserve">Carcasa robusta, sensor anti-manipulación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Resistencia del personal al sistema</w:t>
            </w:r>
          </w:p>
        </w:tc>
        <w:tc>
          <w:p>
            <w:pPr>
              <w:pStyle w:val="Compact"/>
              <w:jc w:val="right"/>
            </w:pPr>
            <w:r>
              <w:t xml:space="preserve">Medio</w:t>
            </w:r>
          </w:p>
        </w:tc>
        <w:tc>
          <w:p>
            <w:pPr>
              <w:pStyle w:val="Compact"/>
              <w:jc w:val="left"/>
            </w:pPr>
            <w:r>
              <w:t xml:space="preserve">Capacitación y procedimiento claro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Costo mensual de conectividad</w:t>
            </w:r>
          </w:p>
        </w:tc>
        <w:tc>
          <w:p>
            <w:pPr>
              <w:pStyle w:val="Compact"/>
              <w:jc w:val="right"/>
            </w:pPr>
            <w:r>
              <w:t xml:space="preserve">Bajo/Medio</w:t>
            </w:r>
          </w:p>
        </w:tc>
        <w:tc>
          <w:p>
            <w:pPr>
              <w:pStyle w:val="Compact"/>
              <w:jc w:val="left"/>
            </w:pPr>
            <w:r>
              <w:t xml:space="preserve">Clasificar cilindros críticos y no críticos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Start w:id="106" w:name="plan-de-implementación-sugerido"/>
    <w:p>
      <w:pPr>
        <w:pStyle w:val="Heading1"/>
      </w:pPr>
      <w:r>
        <w:t xml:space="preserve">12. Plan de implementación sugerido</w:t>
      </w:r>
    </w:p>
    <w:bookmarkStart w:id="101" w:name="fase-1-diagnóstico"/>
    <w:p>
      <w:pPr>
        <w:pStyle w:val="Heading2"/>
      </w:pPr>
      <w:r>
        <w:t xml:space="preserve">Fase 1: Diagnóstico</w:t>
      </w:r>
    </w:p>
    <w:p>
      <w:pPr>
        <w:pStyle w:val="FirstParagraph"/>
      </w:pPr>
      <w:r>
        <w:t xml:space="preserve">Duración estimada: 2 a 4 semanas.</w:t>
      </w:r>
    </w:p>
    <w:p>
      <w:pPr>
        <w:pStyle w:val="BodyText"/>
      </w:pPr>
      <w:r>
        <w:t xml:space="preserve">Actividades:</w:t>
      </w:r>
    </w:p>
    <w:p>
      <w:pPr>
        <w:numPr>
          <w:ilvl w:val="0"/>
          <w:numId w:val="1050"/>
        </w:numPr>
        <w:pStyle w:val="Compact"/>
      </w:pPr>
      <w:r>
        <w:t xml:space="preserve">Relevar cantidad de cilindros.</w:t>
      </w:r>
    </w:p>
    <w:p>
      <w:pPr>
        <w:numPr>
          <w:ilvl w:val="0"/>
          <w:numId w:val="1050"/>
        </w:numPr>
        <w:pStyle w:val="Compact"/>
      </w:pPr>
      <w:r>
        <w:t xml:space="preserve">Identificar tipos de gas.</w:t>
      </w:r>
    </w:p>
    <w:p>
      <w:pPr>
        <w:numPr>
          <w:ilvl w:val="0"/>
          <w:numId w:val="1050"/>
        </w:numPr>
        <w:pStyle w:val="Compact"/>
      </w:pPr>
      <w:r>
        <w:t xml:space="preserve">Determinar ubicaciones de uso.</w:t>
      </w:r>
    </w:p>
    <w:p>
      <w:pPr>
        <w:numPr>
          <w:ilvl w:val="0"/>
          <w:numId w:val="1050"/>
        </w:numPr>
        <w:pStyle w:val="Compact"/>
      </w:pPr>
      <w:r>
        <w:t xml:space="preserve">Analizar flujo logístico.</w:t>
      </w:r>
    </w:p>
    <w:p>
      <w:pPr>
        <w:numPr>
          <w:ilvl w:val="0"/>
          <w:numId w:val="1050"/>
        </w:numPr>
        <w:pStyle w:val="Compact"/>
      </w:pPr>
      <w:r>
        <w:t xml:space="preserve">Revisar normativa interna y local.</w:t>
      </w:r>
    </w:p>
    <w:p>
      <w:pPr>
        <w:numPr>
          <w:ilvl w:val="0"/>
          <w:numId w:val="1050"/>
        </w:numPr>
        <w:pStyle w:val="Compact"/>
      </w:pPr>
      <w:r>
        <w:t xml:space="preserve">Clasificar cilindros por criticidad.</w:t>
      </w:r>
    </w:p>
    <w:p>
      <w:pPr>
        <w:numPr>
          <w:ilvl w:val="0"/>
          <w:numId w:val="1050"/>
        </w:numPr>
        <w:pStyle w:val="Compact"/>
      </w:pPr>
      <w:r>
        <w:t xml:space="preserve">Definir necesidades de rastreo y control.</w:t>
      </w:r>
    </w:p>
    <w:p>
      <w:r>
        <w:pict>
          <v:rect style="width:0;height:1.5pt" o:hralign="center" o:hrstd="t" o:hr="t"/>
        </w:pict>
      </w:r>
    </w:p>
    <w:bookmarkEnd w:id="101"/>
    <w:bookmarkStart w:id="102" w:name="fase-2-prueba-piloto"/>
    <w:p>
      <w:pPr>
        <w:pStyle w:val="Heading2"/>
      </w:pPr>
      <w:r>
        <w:t xml:space="preserve">Fase 2: Prueba piloto</w:t>
      </w:r>
    </w:p>
    <w:p>
      <w:pPr>
        <w:pStyle w:val="FirstParagraph"/>
      </w:pPr>
      <w:r>
        <w:t xml:space="preserve">Duración estimada: 1 a 3 meses.</w:t>
      </w:r>
    </w:p>
    <w:p>
      <w:pPr>
        <w:pStyle w:val="BodyText"/>
      </w:pPr>
      <w:r>
        <w:t xml:space="preserve">Actividades:</w:t>
      </w:r>
    </w:p>
    <w:p>
      <w:pPr>
        <w:numPr>
          <w:ilvl w:val="0"/>
          <w:numId w:val="1051"/>
        </w:numPr>
        <w:pStyle w:val="Compact"/>
      </w:pPr>
      <w:r>
        <w:t xml:space="preserve">Seleccionar grupo reducido de cilindros.</w:t>
      </w:r>
    </w:p>
    <w:p>
      <w:pPr>
        <w:numPr>
          <w:ilvl w:val="0"/>
          <w:numId w:val="1051"/>
        </w:numPr>
        <w:pStyle w:val="Compact"/>
      </w:pPr>
      <w:r>
        <w:t xml:space="preserve">Instalar dispositivos de prueba.</w:t>
      </w:r>
    </w:p>
    <w:p>
      <w:pPr>
        <w:numPr>
          <w:ilvl w:val="0"/>
          <w:numId w:val="1051"/>
        </w:numPr>
        <w:pStyle w:val="Compact"/>
      </w:pPr>
      <w:r>
        <w:t xml:space="preserve">Configurar plataforma.</w:t>
      </w:r>
    </w:p>
    <w:p>
      <w:pPr>
        <w:numPr>
          <w:ilvl w:val="0"/>
          <w:numId w:val="1051"/>
        </w:numPr>
        <w:pStyle w:val="Compact"/>
      </w:pPr>
      <w:r>
        <w:t xml:space="preserve">Crear geocercas.</w:t>
      </w:r>
    </w:p>
    <w:p>
      <w:pPr>
        <w:numPr>
          <w:ilvl w:val="0"/>
          <w:numId w:val="1051"/>
        </w:numPr>
        <w:pStyle w:val="Compact"/>
      </w:pPr>
      <w:r>
        <w:t xml:space="preserve">Evaluar cobertura.</w:t>
      </w:r>
    </w:p>
    <w:p>
      <w:pPr>
        <w:numPr>
          <w:ilvl w:val="0"/>
          <w:numId w:val="1051"/>
        </w:numPr>
        <w:pStyle w:val="Compact"/>
      </w:pPr>
      <w:r>
        <w:t xml:space="preserve">Medir duración de batería.</w:t>
      </w:r>
    </w:p>
    <w:p>
      <w:pPr>
        <w:numPr>
          <w:ilvl w:val="0"/>
          <w:numId w:val="1051"/>
        </w:numPr>
        <w:pStyle w:val="Compact"/>
      </w:pPr>
      <w:r>
        <w:t xml:space="preserve">Validar alertas.</w:t>
      </w:r>
    </w:p>
    <w:p>
      <w:pPr>
        <w:numPr>
          <w:ilvl w:val="0"/>
          <w:numId w:val="1051"/>
        </w:numPr>
        <w:pStyle w:val="Compact"/>
      </w:pPr>
      <w:r>
        <w:t xml:space="preserve">Probar operación con usuarios reales.</w:t>
      </w:r>
    </w:p>
    <w:p>
      <w:pPr>
        <w:pStyle w:val="FirstParagraph"/>
      </w:pPr>
      <w:r>
        <w:t xml:space="preserve">Indicadores a medir:</w:t>
      </w:r>
    </w:p>
    <w:p>
      <w:pPr>
        <w:numPr>
          <w:ilvl w:val="0"/>
          <w:numId w:val="1052"/>
        </w:numPr>
        <w:pStyle w:val="Compact"/>
      </w:pPr>
      <w:r>
        <w:t xml:space="preserve">Precisión de ubicación.</w:t>
      </w:r>
    </w:p>
    <w:p>
      <w:pPr>
        <w:numPr>
          <w:ilvl w:val="0"/>
          <w:numId w:val="1052"/>
        </w:numPr>
        <w:pStyle w:val="Compact"/>
      </w:pPr>
      <w:r>
        <w:t xml:space="preserve">Tiempo de respuesta de alertas.</w:t>
      </w:r>
    </w:p>
    <w:p>
      <w:pPr>
        <w:numPr>
          <w:ilvl w:val="0"/>
          <w:numId w:val="1052"/>
        </w:numPr>
        <w:pStyle w:val="Compact"/>
      </w:pPr>
      <w:r>
        <w:t xml:space="preserve">Facilidad de uso.</w:t>
      </w:r>
    </w:p>
    <w:p>
      <w:pPr>
        <w:numPr>
          <w:ilvl w:val="0"/>
          <w:numId w:val="1052"/>
        </w:numPr>
        <w:pStyle w:val="Compact"/>
      </w:pPr>
      <w:r>
        <w:t xml:space="preserve">Incidentes detectados.</w:t>
      </w:r>
    </w:p>
    <w:p>
      <w:pPr>
        <w:numPr>
          <w:ilvl w:val="0"/>
          <w:numId w:val="1052"/>
        </w:numPr>
        <w:pStyle w:val="Compact"/>
      </w:pPr>
      <w:r>
        <w:t xml:space="preserve">Reducción de pérdidas.</w:t>
      </w:r>
    </w:p>
    <w:p>
      <w:pPr>
        <w:numPr>
          <w:ilvl w:val="0"/>
          <w:numId w:val="1052"/>
        </w:numPr>
        <w:pStyle w:val="Compact"/>
      </w:pPr>
      <w:r>
        <w:t xml:space="preserve">Aceptación por parte del personal.</w:t>
      </w:r>
    </w:p>
    <w:p>
      <w:r>
        <w:pict>
          <v:rect style="width:0;height:1.5pt" o:hralign="center" o:hrstd="t" o:hr="t"/>
        </w:pict>
      </w:r>
    </w:p>
    <w:bookmarkEnd w:id="102"/>
    <w:bookmarkStart w:id="103" w:name="fase-3-evaluación-técnica-y-económica"/>
    <w:p>
      <w:pPr>
        <w:pStyle w:val="Heading2"/>
      </w:pPr>
      <w:r>
        <w:t xml:space="preserve">Fase 3: Evaluación técnica y económica</w:t>
      </w:r>
    </w:p>
    <w:p>
      <w:pPr>
        <w:pStyle w:val="FirstParagraph"/>
      </w:pPr>
      <w:r>
        <w:t xml:space="preserve">Actividades:</w:t>
      </w:r>
    </w:p>
    <w:p>
      <w:pPr>
        <w:numPr>
          <w:ilvl w:val="0"/>
          <w:numId w:val="1053"/>
        </w:numPr>
        <w:pStyle w:val="Compact"/>
      </w:pPr>
      <w:r>
        <w:t xml:space="preserve">Comparar alternativas.</w:t>
      </w:r>
    </w:p>
    <w:p>
      <w:pPr>
        <w:numPr>
          <w:ilvl w:val="0"/>
          <w:numId w:val="1053"/>
        </w:numPr>
        <w:pStyle w:val="Compact"/>
      </w:pPr>
      <w:r>
        <w:t xml:space="preserve">Estimar costo por cilindro.</w:t>
      </w:r>
    </w:p>
    <w:p>
      <w:pPr>
        <w:numPr>
          <w:ilvl w:val="0"/>
          <w:numId w:val="1053"/>
        </w:numPr>
        <w:pStyle w:val="Compact"/>
      </w:pPr>
      <w:r>
        <w:t xml:space="preserve">Analizar costo mensual de conectividad.</w:t>
      </w:r>
    </w:p>
    <w:p>
      <w:pPr>
        <w:numPr>
          <w:ilvl w:val="0"/>
          <w:numId w:val="1053"/>
        </w:numPr>
        <w:pStyle w:val="Compact"/>
      </w:pPr>
      <w:r>
        <w:t xml:space="preserve">Evaluar retorno de inversión.</w:t>
      </w:r>
    </w:p>
    <w:p>
      <w:pPr>
        <w:numPr>
          <w:ilvl w:val="0"/>
          <w:numId w:val="1053"/>
        </w:numPr>
        <w:pStyle w:val="Compact"/>
      </w:pPr>
      <w:r>
        <w:t xml:space="preserve">Determinar proveedores homologados.</w:t>
      </w:r>
    </w:p>
    <w:p>
      <w:pPr>
        <w:numPr>
          <w:ilvl w:val="0"/>
          <w:numId w:val="1053"/>
        </w:numPr>
        <w:pStyle w:val="Compact"/>
      </w:pPr>
      <w:r>
        <w:t xml:space="preserve">Definir alcance final.</w:t>
      </w:r>
    </w:p>
    <w:p>
      <w:r>
        <w:pict>
          <v:rect style="width:0;height:1.5pt" o:hralign="center" o:hrstd="t" o:hr="t"/>
        </w:pict>
      </w:r>
    </w:p>
    <w:bookmarkEnd w:id="103"/>
    <w:bookmarkStart w:id="104" w:name="fase-4-implementación-progresiva"/>
    <w:p>
      <w:pPr>
        <w:pStyle w:val="Heading2"/>
      </w:pPr>
      <w:r>
        <w:t xml:space="preserve">Fase 4: Implementación progresiva</w:t>
      </w:r>
    </w:p>
    <w:p>
      <w:pPr>
        <w:pStyle w:val="FirstParagraph"/>
      </w:pPr>
      <w:r>
        <w:t xml:space="preserve">Actividades:</w:t>
      </w:r>
    </w:p>
    <w:p>
      <w:pPr>
        <w:numPr>
          <w:ilvl w:val="0"/>
          <w:numId w:val="1054"/>
        </w:numPr>
        <w:pStyle w:val="Compact"/>
      </w:pPr>
      <w:r>
        <w:t xml:space="preserve">Despliegue por áreas.</w:t>
      </w:r>
    </w:p>
    <w:p>
      <w:pPr>
        <w:numPr>
          <w:ilvl w:val="0"/>
          <w:numId w:val="1054"/>
        </w:numPr>
        <w:pStyle w:val="Compact"/>
      </w:pPr>
      <w:r>
        <w:t xml:space="preserve">Capacitación al personal.</w:t>
      </w:r>
    </w:p>
    <w:p>
      <w:pPr>
        <w:numPr>
          <w:ilvl w:val="0"/>
          <w:numId w:val="1054"/>
        </w:numPr>
        <w:pStyle w:val="Compact"/>
      </w:pPr>
      <w:r>
        <w:t xml:space="preserve">Integración con inventario.</w:t>
      </w:r>
    </w:p>
    <w:p>
      <w:pPr>
        <w:numPr>
          <w:ilvl w:val="0"/>
          <w:numId w:val="1054"/>
        </w:numPr>
        <w:pStyle w:val="Compact"/>
      </w:pPr>
      <w:r>
        <w:t xml:space="preserve">Definición de responsables.</w:t>
      </w:r>
    </w:p>
    <w:p>
      <w:pPr>
        <w:numPr>
          <w:ilvl w:val="0"/>
          <w:numId w:val="1054"/>
        </w:numPr>
        <w:pStyle w:val="Compact"/>
      </w:pPr>
      <w:r>
        <w:t xml:space="preserve">Establecimiento de procedimiento operativo.</w:t>
      </w:r>
    </w:p>
    <w:p>
      <w:pPr>
        <w:numPr>
          <w:ilvl w:val="0"/>
          <w:numId w:val="1054"/>
        </w:numPr>
        <w:pStyle w:val="Compact"/>
      </w:pPr>
      <w:r>
        <w:t xml:space="preserve">Configuración de reportes para dirección.</w:t>
      </w:r>
    </w:p>
    <w:p>
      <w:r>
        <w:pict>
          <v:rect style="width:0;height:1.5pt" o:hralign="center" o:hrstd="t" o:hr="t"/>
        </w:pict>
      </w:r>
    </w:p>
    <w:bookmarkEnd w:id="104"/>
    <w:bookmarkStart w:id="105" w:name="fase-5-operación-y-mantenimiento"/>
    <w:p>
      <w:pPr>
        <w:pStyle w:val="Heading2"/>
      </w:pPr>
      <w:r>
        <w:t xml:space="preserve">Fase 5: Operación y mantenimiento</w:t>
      </w:r>
    </w:p>
    <w:p>
      <w:pPr>
        <w:pStyle w:val="FirstParagraph"/>
      </w:pPr>
      <w:r>
        <w:t xml:space="preserve">Actividades:</w:t>
      </w:r>
    </w:p>
    <w:p>
      <w:pPr>
        <w:numPr>
          <w:ilvl w:val="0"/>
          <w:numId w:val="1055"/>
        </w:numPr>
        <w:pStyle w:val="Compact"/>
      </w:pPr>
      <w:r>
        <w:t xml:space="preserve">Control periódico de baterías.</w:t>
      </w:r>
    </w:p>
    <w:p>
      <w:pPr>
        <w:numPr>
          <w:ilvl w:val="0"/>
          <w:numId w:val="1055"/>
        </w:numPr>
        <w:pStyle w:val="Compact"/>
      </w:pPr>
      <w:r>
        <w:t xml:space="preserve">Revisión de soportes físicos.</w:t>
      </w:r>
    </w:p>
    <w:p>
      <w:pPr>
        <w:numPr>
          <w:ilvl w:val="0"/>
          <w:numId w:val="1055"/>
        </w:numPr>
        <w:pStyle w:val="Compact"/>
      </w:pPr>
      <w:r>
        <w:t xml:space="preserve">Auditorías de inventario.</w:t>
      </w:r>
    </w:p>
    <w:p>
      <w:pPr>
        <w:numPr>
          <w:ilvl w:val="0"/>
          <w:numId w:val="1055"/>
        </w:numPr>
        <w:pStyle w:val="Compact"/>
      </w:pPr>
      <w:r>
        <w:t xml:space="preserve">Actualización de plataforma.</w:t>
      </w:r>
    </w:p>
    <w:p>
      <w:pPr>
        <w:numPr>
          <w:ilvl w:val="0"/>
          <w:numId w:val="1055"/>
        </w:numPr>
        <w:pStyle w:val="Compact"/>
      </w:pPr>
      <w:r>
        <w:t xml:space="preserve">Revisión de permisos de usuario.</w:t>
      </w:r>
    </w:p>
    <w:p>
      <w:pPr>
        <w:numPr>
          <w:ilvl w:val="0"/>
          <w:numId w:val="1055"/>
        </w:numPr>
        <w:pStyle w:val="Compact"/>
      </w:pPr>
      <w:r>
        <w:t xml:space="preserve">Reportes mensuales de gestión.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criterios-para-selección-de-proveedor"/>
    <w:p>
      <w:pPr>
        <w:pStyle w:val="Heading1"/>
      </w:pPr>
      <w:r>
        <w:t xml:space="preserve">13. Criterios para selección de proveedor</w:t>
      </w:r>
    </w:p>
    <w:p>
      <w:pPr>
        <w:pStyle w:val="FirstParagraph"/>
      </w:pPr>
      <w:r>
        <w:t xml:space="preserve">Se recomienda evaluar proveedores según los siguientes criterios:</w:t>
      </w:r>
    </w:p>
    <w:p>
      <w:pPr>
        <w:numPr>
          <w:ilvl w:val="0"/>
          <w:numId w:val="1056"/>
        </w:numPr>
        <w:pStyle w:val="Compact"/>
      </w:pPr>
      <w:r>
        <w:t xml:space="preserve">Experiencia en ambientes industriales.</w:t>
      </w:r>
    </w:p>
    <w:p>
      <w:pPr>
        <w:numPr>
          <w:ilvl w:val="0"/>
          <w:numId w:val="1056"/>
        </w:numPr>
        <w:pStyle w:val="Compact"/>
      </w:pPr>
      <w:r>
        <w:t xml:space="preserve">Compatibilidad con cilindros de gas.</w:t>
      </w:r>
    </w:p>
    <w:p>
      <w:pPr>
        <w:numPr>
          <w:ilvl w:val="0"/>
          <w:numId w:val="1056"/>
        </w:numPr>
        <w:pStyle w:val="Compact"/>
      </w:pPr>
      <w:r>
        <w:t xml:space="preserve">Equipos certificados.</w:t>
      </w:r>
    </w:p>
    <w:p>
      <w:pPr>
        <w:numPr>
          <w:ilvl w:val="0"/>
          <w:numId w:val="1056"/>
        </w:numPr>
        <w:pStyle w:val="Compact"/>
      </w:pPr>
      <w:r>
        <w:t xml:space="preserve">Plataforma web y móvil.</w:t>
      </w:r>
    </w:p>
    <w:p>
      <w:pPr>
        <w:numPr>
          <w:ilvl w:val="0"/>
          <w:numId w:val="1056"/>
        </w:numPr>
        <w:pStyle w:val="Compact"/>
      </w:pPr>
      <w:r>
        <w:t xml:space="preserve">Soporte local.</w:t>
      </w:r>
    </w:p>
    <w:p>
      <w:pPr>
        <w:numPr>
          <w:ilvl w:val="0"/>
          <w:numId w:val="1056"/>
        </w:numPr>
        <w:pStyle w:val="Compact"/>
      </w:pPr>
      <w:r>
        <w:t xml:space="preserve">Garantía de dispositivos.</w:t>
      </w:r>
    </w:p>
    <w:p>
      <w:pPr>
        <w:numPr>
          <w:ilvl w:val="0"/>
          <w:numId w:val="1056"/>
        </w:numPr>
        <w:pStyle w:val="Compact"/>
      </w:pPr>
      <w:r>
        <w:t xml:space="preserve">Autonomía de batería.</w:t>
      </w:r>
    </w:p>
    <w:p>
      <w:pPr>
        <w:numPr>
          <w:ilvl w:val="0"/>
          <w:numId w:val="1056"/>
        </w:numPr>
        <w:pStyle w:val="Compact"/>
      </w:pPr>
      <w:r>
        <w:t xml:space="preserve">Seguridad de datos.</w:t>
      </w:r>
    </w:p>
    <w:p>
      <w:pPr>
        <w:numPr>
          <w:ilvl w:val="0"/>
          <w:numId w:val="1056"/>
        </w:numPr>
        <w:pStyle w:val="Compact"/>
      </w:pPr>
      <w:r>
        <w:t xml:space="preserve">Facilidad de integración con sistemas existentes.</w:t>
      </w:r>
    </w:p>
    <w:p>
      <w:pPr>
        <w:numPr>
          <w:ilvl w:val="0"/>
          <w:numId w:val="1056"/>
        </w:numPr>
        <w:pStyle w:val="Compact"/>
      </w:pPr>
      <w:r>
        <w:t xml:space="preserve">Capacidad de generar reportes.</w:t>
      </w:r>
    </w:p>
    <w:p>
      <w:pPr>
        <w:numPr>
          <w:ilvl w:val="0"/>
          <w:numId w:val="1056"/>
        </w:numPr>
        <w:pStyle w:val="Compact"/>
      </w:pPr>
      <w:r>
        <w:t xml:space="preserve">Costos de adquisición y mantenimiento.</w:t>
      </w:r>
    </w:p>
    <w:p>
      <w:pPr>
        <w:numPr>
          <w:ilvl w:val="0"/>
          <w:numId w:val="1056"/>
        </w:numPr>
        <w:pStyle w:val="Compact"/>
      </w:pPr>
      <w:r>
        <w:t xml:space="preserve">Disponibilidad de repuestos.</w:t>
      </w:r>
    </w:p>
    <w:p>
      <w:pPr>
        <w:numPr>
          <w:ilvl w:val="0"/>
          <w:numId w:val="1056"/>
        </w:numPr>
        <w:pStyle w:val="Compact"/>
      </w:pPr>
      <w:r>
        <w:t xml:space="preserve">Referencias de clientes industriales.</w:t>
      </w:r>
    </w:p>
    <w:p>
      <w:r>
        <w:pict>
          <v:rect style="width:0;height:1.5pt" o:hralign="center" o:hrstd="t" o:hr="t"/>
        </w:pict>
      </w:r>
    </w:p>
    <w:bookmarkEnd w:id="107"/>
    <w:bookmarkStart w:id="108" w:name="recomendación-final"/>
    <w:p>
      <w:pPr>
        <w:pStyle w:val="Heading1"/>
      </w:pPr>
      <w:r>
        <w:t xml:space="preserve">14. Recomendación final</w:t>
      </w:r>
    </w:p>
    <w:p>
      <w:pPr>
        <w:pStyle w:val="FirstParagraph"/>
      </w:pPr>
      <w:r>
        <w:t xml:space="preserve">Se recomienda avanzar con una</w:t>
      </w:r>
      <w:r>
        <w:t xml:space="preserve"> </w:t>
      </w:r>
      <w:r>
        <w:rPr>
          <w:bCs/>
          <w:b/>
        </w:rPr>
        <w:t xml:space="preserve">prueba piloto controlada</w:t>
      </w:r>
      <w:r>
        <w:t xml:space="preserve">, priorizando los cilindros de mayor valor, mayor rotación o mayor riesgo operativo.</w:t>
      </w:r>
    </w:p>
    <w:p>
      <w:pPr>
        <w:pStyle w:val="BodyText"/>
      </w:pPr>
      <w:r>
        <w:t xml:space="preserve">La solución recomendada es una combinación de: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RFID/NFC</w:t>
      </w:r>
      <w:r>
        <w:t xml:space="preserve"> </w:t>
      </w:r>
      <w:r>
        <w:t xml:space="preserve">para identificación e inventario.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GPS celular o LoRaWAN</w:t>
      </w:r>
      <w:r>
        <w:t xml:space="preserve"> </w:t>
      </w:r>
      <w:r>
        <w:t xml:space="preserve">para rastreo y alertas.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Sensor de movimiento y manipulación</w:t>
      </w:r>
      <w:r>
        <w:t xml:space="preserve">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Bloqueo físico de válvula</w:t>
      </w:r>
      <w:r>
        <w:t xml:space="preserve"> </w:t>
      </w:r>
      <w:r>
        <w:t xml:space="preserve">para control de uso.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Válvula de corte certificada después del regulador</w:t>
      </w:r>
      <w:r>
        <w:t xml:space="preserve">, solo si se requiere control remoto del flujo de gas.</w:t>
      </w:r>
    </w:p>
    <w:p>
      <w:pPr>
        <w:pStyle w:val="FirstParagraph"/>
      </w:pPr>
      <w:r>
        <w:t xml:space="preserve">La implementación debe realizarse sin modificar el cilindro, sin alterar la válvula original y utilizando dispositivos aptos para ambiente industrial y gases comprimidos.</w:t>
      </w:r>
    </w:p>
    <w:p>
      <w:r>
        <w:pict>
          <v:rect style="width:0;height:1.5pt" o:hralign="center" o:hrstd="t" o:hr="t"/>
        </w:pict>
      </w:r>
    </w:p>
    <w:bookmarkEnd w:id="108"/>
    <w:bookmarkStart w:id="109" w:name="conclusión"/>
    <w:p>
      <w:pPr>
        <w:pStyle w:val="Heading1"/>
      </w:pPr>
      <w:r>
        <w:t xml:space="preserve">15. Conclusión</w:t>
      </w:r>
    </w:p>
    <w:p>
      <w:pPr>
        <w:pStyle w:val="FirstParagraph"/>
      </w:pPr>
      <w:r>
        <w:t xml:space="preserve">Sí existen mecanismos físicos y tecnológicos para geoposicionar y controlar tubos de gas para soldadura. La implementación es técnicamente viable, siempre que se realice con criterios de seguridad industrial, certificación y respeto por la integridad del cilindro.</w:t>
      </w:r>
    </w:p>
    <w:p>
      <w:pPr>
        <w:pStyle w:val="BodyText"/>
      </w:pPr>
      <w:r>
        <w:t xml:space="preserve">El proyecto puede aportar beneficios significativos en control de activos, seguridad, reducción de pérdidas y trazabilidad operativa.</w:t>
      </w:r>
    </w:p>
    <w:p>
      <w:pPr>
        <w:pStyle w:val="BodyText"/>
      </w:pPr>
      <w:r>
        <w:t xml:space="preserve">La recomendación es iniciar con un piloto, evaluar resultados y posteriormente escalar la solución al resto de la operación.</w:t>
      </w:r>
    </w:p>
    <w:bookmarkEnd w:id="10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2026-06-24T00:30:36Z</dcterms:created>
  <dcterms:modified xsi:type="dcterms:W3CDTF">2026-06-24T00:30:36Z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