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73B3C" w14:textId="1AA306A1" w:rsidR="008E3B12" w:rsidRPr="008E3B12" w:rsidRDefault="008E3B12" w:rsidP="008E3B12">
      <w:pPr>
        <w:rPr>
          <w:b/>
          <w:bCs/>
        </w:rPr>
      </w:pPr>
      <w:r w:rsidRPr="008E3B12">
        <w:rPr>
          <w:b/>
          <w:bCs/>
        </w:rPr>
        <w:t>1.</w:t>
      </w:r>
      <w:r w:rsidR="00B5534C" w:rsidRPr="008E3B12">
        <w:rPr>
          <w:b/>
          <w:bCs/>
        </w:rPr>
        <w:t xml:space="preserve">Introduction </w:t>
      </w:r>
    </w:p>
    <w:p w14:paraId="5E5EF2EF" w14:textId="728F4501" w:rsidR="00B5534C" w:rsidRDefault="00B5534C" w:rsidP="008E3B12">
      <w:r>
        <w:t>This report describes the Stage 1 Clustering Pipeline developed to identify and categorize manufacturing bottlenecks using time</w:t>
      </w:r>
      <w:r w:rsidRPr="008E3B12">
        <w:rPr>
          <w:rFonts w:ascii="Cambria Math" w:hAnsi="Cambria Math" w:cs="Cambria Math"/>
        </w:rPr>
        <w:t>‑</w:t>
      </w:r>
      <w:r>
        <w:t xml:space="preserve">series clustering techniques. The primary goal was to transform raw stoppage events into meaningful clusters that capture similar bottleneck </w:t>
      </w:r>
      <w:proofErr w:type="spellStart"/>
      <w:r>
        <w:t>behavior</w:t>
      </w:r>
      <w:proofErr w:type="spellEnd"/>
      <w:r>
        <w:t xml:space="preserve"> across production lines, stoppage reasons, and shifts. This pipeline supports downstream analysis by revealing patterns in equipment downtime, enabling targeted process improvements.</w:t>
      </w:r>
    </w:p>
    <w:p w14:paraId="7B9A9E07" w14:textId="77777777" w:rsidR="00B5534C" w:rsidRDefault="00B5534C" w:rsidP="00B5534C"/>
    <w:p w14:paraId="2FCDA155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 xml:space="preserve">2. Data Loading &amp; Initial Cleanup </w:t>
      </w:r>
    </w:p>
    <w:p w14:paraId="172C7CC3" w14:textId="7B420BDA" w:rsidR="00B5534C" w:rsidRDefault="00B5534C" w:rsidP="00B5534C">
      <w:r>
        <w:t>We begin by importing production data from an Excel workbook containing timestamped stoppage events and their durations. Key steps include:</w:t>
      </w:r>
    </w:p>
    <w:p w14:paraId="406A865F" w14:textId="7DCEAD6A" w:rsidR="00B5534C" w:rsidRDefault="00B5534C" w:rsidP="00B5534C">
      <w:pPr>
        <w:pStyle w:val="ListParagraph"/>
        <w:numPr>
          <w:ilvl w:val="0"/>
          <w:numId w:val="1"/>
        </w:numPr>
      </w:pPr>
      <w:r>
        <w:t xml:space="preserve">Column Verification: Ensuring presence of Line, Stoppage Category, Stoppage Reason, Shift Id, and Bottleneck Duration Seconds columns; missing columns trigger an explicit </w:t>
      </w:r>
      <w:proofErr w:type="gramStart"/>
      <w:r>
        <w:t xml:space="preserve">error </w:t>
      </w:r>
      <w:r w:rsidR="008E3B12">
        <w:t>.</w:t>
      </w:r>
      <w:proofErr w:type="gramEnd"/>
    </w:p>
    <w:p w14:paraId="4D96AA6E" w14:textId="77777777" w:rsidR="008E3B12" w:rsidRDefault="00B5534C" w:rsidP="00B5534C">
      <w:pPr>
        <w:pStyle w:val="ListParagraph"/>
        <w:numPr>
          <w:ilvl w:val="0"/>
          <w:numId w:val="1"/>
        </w:numPr>
      </w:pPr>
      <w:r>
        <w:t>Missing Duration Removal: Rows lacking Bottleneck Duration Seconds are dropped, as they cannot contribute to meaningful clustering.</w:t>
      </w:r>
    </w:p>
    <w:p w14:paraId="362D5F04" w14:textId="281513FB" w:rsidR="00B5534C" w:rsidRDefault="00B5534C" w:rsidP="00B5534C">
      <w:pPr>
        <w:pStyle w:val="ListParagraph"/>
        <w:numPr>
          <w:ilvl w:val="0"/>
          <w:numId w:val="1"/>
        </w:numPr>
      </w:pPr>
      <w:r>
        <w:t>Active State Flag: A binary </w:t>
      </w:r>
      <w:proofErr w:type="spellStart"/>
      <w:r>
        <w:t>is_active</w:t>
      </w:r>
      <w:proofErr w:type="spellEnd"/>
      <w:r>
        <w:t xml:space="preserve"> column (1 = active bottleneck, 0 = idle) is derived from Stoppage Category ≠ "Not Occupied".</w:t>
      </w:r>
    </w:p>
    <w:p w14:paraId="05A2EB22" w14:textId="77777777" w:rsidR="00B5534C" w:rsidRDefault="00B5534C" w:rsidP="00B5534C"/>
    <w:p w14:paraId="56232030" w14:textId="77777777" w:rsidR="00B5534C" w:rsidRDefault="00B5534C" w:rsidP="00B5534C">
      <w:r>
        <w:t>These steps ensure a reliable foundation for time</w:t>
      </w:r>
      <w:r>
        <w:rPr>
          <w:rFonts w:ascii="Cambria Math" w:hAnsi="Cambria Math" w:cs="Cambria Math"/>
        </w:rPr>
        <w:t>‑</w:t>
      </w:r>
      <w:r>
        <w:t>series extraction.</w:t>
      </w:r>
    </w:p>
    <w:p w14:paraId="1C96AB0E" w14:textId="77777777" w:rsidR="00B5534C" w:rsidRDefault="00B5534C" w:rsidP="00B5534C"/>
    <w:p w14:paraId="35F457EF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 xml:space="preserve">3. Outlier Removal </w:t>
      </w:r>
    </w:p>
    <w:p w14:paraId="5B2CF4DA" w14:textId="7EB30C85" w:rsidR="00B5534C" w:rsidRDefault="00B5534C" w:rsidP="00B5534C">
      <w:r>
        <w:t>To mitigate the influence of extreme durations, we apply the Interquartile Range (IQR) method:</w:t>
      </w:r>
    </w:p>
    <w:p w14:paraId="66BA34F2" w14:textId="77777777" w:rsidR="00B5534C" w:rsidRDefault="00B5534C" w:rsidP="00B5534C"/>
    <w:p w14:paraId="2CA93385" w14:textId="648B4A1E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608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1.</w:t>
      </w:r>
      <w:r>
        <w:rPr>
          <w:rFonts w:ascii="Consolas" w:hAnsi="Consolas" w:cs="Courier New"/>
          <w:color w:val="000000"/>
          <w:sz w:val="17"/>
          <w:szCs w:val="17"/>
        </w:rPr>
        <w:t xml:space="preserve"> Q1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'Bottleneck Duration Seconds'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quantile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0.25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22A4842" w14:textId="2BFFCB1A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608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2.</w:t>
      </w:r>
      <w:r>
        <w:rPr>
          <w:rFonts w:ascii="Consolas" w:hAnsi="Consolas" w:cs="Courier New"/>
          <w:color w:val="000000"/>
          <w:sz w:val="17"/>
          <w:szCs w:val="17"/>
        </w:rPr>
        <w:t xml:space="preserve"> Q3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'Bottleneck Duration Seconds'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quantile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0.75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B230F1A" w14:textId="31C5C620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608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3.</w:t>
      </w:r>
      <w:r>
        <w:rPr>
          <w:rFonts w:ascii="Consolas" w:hAnsi="Consolas" w:cs="Courier New"/>
          <w:color w:val="000000"/>
          <w:sz w:val="17"/>
          <w:szCs w:val="17"/>
        </w:rPr>
        <w:t xml:space="preserve"> IQR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Q3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Q1</w:t>
      </w:r>
    </w:p>
    <w:p w14:paraId="6B072D7D" w14:textId="6446A418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608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4.</w:t>
      </w:r>
      <w:r>
        <w:rPr>
          <w:rFonts w:ascii="Consolas" w:hAnsi="Consolas" w:cs="Courier New"/>
          <w:color w:val="000000"/>
          <w:sz w:val="17"/>
          <w:szCs w:val="17"/>
        </w:rPr>
        <w:t xml:space="preserve"> lower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upper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Q1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IQR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Q3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1.5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r>
        <w:rPr>
          <w:rFonts w:ascii="Consolas" w:hAnsi="Consolas" w:cs="Courier New"/>
          <w:color w:val="000000"/>
          <w:sz w:val="17"/>
          <w:szCs w:val="17"/>
        </w:rPr>
        <w:t>IQR</w:t>
      </w:r>
    </w:p>
    <w:p w14:paraId="0D68F479" w14:textId="25896C72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608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5.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df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'Bottleneck Duration Seconds'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between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lower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upper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17B6F1CB" w14:textId="59FBAD4D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1660860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6666"/>
          <w:sz w:val="17"/>
          <w:szCs w:val="17"/>
        </w:rPr>
        <w:t>6.</w:t>
      </w:r>
      <w:r>
        <w:rPr>
          <w:rFonts w:ascii="Consolas" w:hAnsi="Consolas" w:cs="Courier New"/>
          <w:color w:val="000000"/>
          <w:sz w:val="17"/>
          <w:szCs w:val="17"/>
        </w:rPr>
        <w:t xml:space="preserve">  </w:t>
      </w:r>
      <w:r>
        <w:rPr>
          <w:rFonts w:ascii="Consolas" w:hAnsi="Consolas" w:cs="Courier New"/>
          <w:sz w:val="17"/>
          <w:szCs w:val="17"/>
        </w:rPr>
        <w:t xml:space="preserve">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4E8B2AF" w14:textId="77777777" w:rsidR="00B5534C" w:rsidRDefault="00B5534C" w:rsidP="00B5534C"/>
    <w:p w14:paraId="4E1BC74E" w14:textId="4BAC4BBD" w:rsidR="00B5534C" w:rsidRDefault="00B5534C" w:rsidP="00B5534C">
      <w:r>
        <w:t>Any duration outside [Q1 – 1.5·IQR, Q3 + 1.5·IQR] is excluded, reducing noise from anomalous stoppages.</w:t>
      </w:r>
    </w:p>
    <w:p w14:paraId="1AB9CC1C" w14:textId="77777777" w:rsidR="00B5534C" w:rsidRDefault="00B5534C" w:rsidP="00B5534C"/>
    <w:p w14:paraId="0339F72B" w14:textId="77777777" w:rsidR="008E3B12" w:rsidRDefault="008E3B12" w:rsidP="00B5534C"/>
    <w:p w14:paraId="5B240A78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lastRenderedPageBreak/>
        <w:t>4. Summary Statistics &amp; Time</w:t>
      </w:r>
      <w:r w:rsidRPr="008E3B12">
        <w:rPr>
          <w:rFonts w:ascii="Cambria Math" w:hAnsi="Cambria Math" w:cs="Cambria Math"/>
          <w:b/>
          <w:bCs/>
        </w:rPr>
        <w:t>‑</w:t>
      </w:r>
      <w:r w:rsidRPr="008E3B12">
        <w:rPr>
          <w:b/>
          <w:bCs/>
        </w:rPr>
        <w:t xml:space="preserve">Series Extraction </w:t>
      </w:r>
    </w:p>
    <w:p w14:paraId="64D820AA" w14:textId="79DE2AFC" w:rsidR="00B5534C" w:rsidRDefault="00B5534C" w:rsidP="00B5534C">
      <w:r>
        <w:t>We group data by (Line, Stoppage</w:t>
      </w:r>
      <w:r>
        <w:rPr>
          <w:rFonts w:ascii="Aptos" w:hAnsi="Aptos" w:cs="Aptos"/>
        </w:rPr>
        <w:t> </w:t>
      </w:r>
      <w:r>
        <w:t>Reason, Shift Id) to compute basic statistics (mean, std, min, max, count) for each group. Simultaneously, we build a dictionary of raw time</w:t>
      </w:r>
      <w:r>
        <w:rPr>
          <w:rFonts w:ascii="Cambria Math" w:hAnsi="Cambria Math" w:cs="Cambria Math"/>
        </w:rPr>
        <w:t>‑</w:t>
      </w:r>
      <w:r>
        <w:t>series sequences:</w:t>
      </w:r>
    </w:p>
    <w:p w14:paraId="526A196F" w14:textId="77777777" w:rsidR="00B5534C" w:rsidRDefault="00B5534C" w:rsidP="00B5534C"/>
    <w:p w14:paraId="05E6503B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stats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groupby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[...])[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'Bottleneck Duration Seconds'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FA09F54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agg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</w:t>
      </w:r>
      <w:r>
        <w:rPr>
          <w:rFonts w:ascii="Consolas" w:hAnsi="Consolas" w:cs="Courier New"/>
          <w:color w:val="008800"/>
          <w:sz w:val="17"/>
          <w:szCs w:val="17"/>
        </w:rPr>
        <w:t>'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mean'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'std'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'min'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'max'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8800"/>
          <w:sz w:val="17"/>
          <w:szCs w:val="17"/>
        </w:rPr>
        <w:t>'count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'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00D46B1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85D9A71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880000"/>
          <w:sz w:val="17"/>
          <w:szCs w:val="17"/>
        </w:rPr>
        <w:t># Only groups with &gt;1 event</w:t>
      </w:r>
    </w:p>
    <w:p w14:paraId="59FAA5FC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5.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ts_dict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{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proofErr w:type="gramEnd"/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grp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8800"/>
          <w:sz w:val="17"/>
          <w:szCs w:val="17"/>
        </w:rPr>
        <w:t>'Bottleneck Duration Seconds'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gramEnd"/>
    </w:p>
    <w:p w14:paraId="7FBEA03C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grp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groupby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([...])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grp</w:t>
      </w:r>
      <w:r>
        <w:rPr>
          <w:rFonts w:ascii="Consolas" w:hAnsi="Consolas" w:cs="Courier New"/>
          <w:color w:val="666600"/>
          <w:sz w:val="17"/>
          <w:szCs w:val="17"/>
        </w:rPr>
        <w:t>)&gt;</w:t>
      </w:r>
      <w:proofErr w:type="gramStart"/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}</w:t>
      </w:r>
      <w:proofErr w:type="gramEnd"/>
    </w:p>
    <w:p w14:paraId="4F1616CE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40719859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7.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E397E20" w14:textId="77777777" w:rsidR="00B5534C" w:rsidRDefault="00B5534C" w:rsidP="00B5534C"/>
    <w:p w14:paraId="6EA85F8C" w14:textId="6D63F124" w:rsidR="00B5534C" w:rsidRDefault="00B5534C" w:rsidP="00B5534C">
      <w:r>
        <w:t xml:space="preserve">This dual output (stats and </w:t>
      </w:r>
      <w:proofErr w:type="spellStart"/>
      <w:r>
        <w:t>ts_dict</w:t>
      </w:r>
      <w:proofErr w:type="spellEnd"/>
      <w:r>
        <w:t>) supports both tabular summaries and sequence</w:t>
      </w:r>
      <w:r>
        <w:rPr>
          <w:rFonts w:ascii="Cambria Math" w:hAnsi="Cambria Math" w:cs="Cambria Math"/>
        </w:rPr>
        <w:t>‑</w:t>
      </w:r>
      <w:r>
        <w:t>based clustering.</w:t>
      </w:r>
    </w:p>
    <w:p w14:paraId="4C667A77" w14:textId="77777777" w:rsidR="00B5534C" w:rsidRDefault="00B5534C" w:rsidP="00B5534C"/>
    <w:p w14:paraId="2AF59F7B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 xml:space="preserve">5. Distance Matrix Computation (DTW) </w:t>
      </w:r>
    </w:p>
    <w:p w14:paraId="127503C5" w14:textId="10B2806D" w:rsidR="00B5534C" w:rsidRDefault="00B5534C" w:rsidP="00B5534C">
      <w:r>
        <w:t>To compare time series of varying lengths, we use Dynamic Time Warping (DTW):</w:t>
      </w:r>
    </w:p>
    <w:p w14:paraId="4AABB74F" w14:textId="77777777" w:rsidR="008E3B12" w:rsidRDefault="00B5534C" w:rsidP="00B5534C">
      <w:pPr>
        <w:pStyle w:val="ListParagraph"/>
        <w:numPr>
          <w:ilvl w:val="0"/>
          <w:numId w:val="2"/>
        </w:numPr>
      </w:pPr>
      <w:r>
        <w:t xml:space="preserve">Padding &amp; Scaling: Convert list of sequences into a padded 3D array via </w:t>
      </w:r>
      <w:proofErr w:type="spellStart"/>
      <w:r>
        <w:t>to_time_series_dataset</w:t>
      </w:r>
      <w:proofErr w:type="spellEnd"/>
      <w:r>
        <w:t xml:space="preserve">, then normalize each series to zero mean and unit variance with </w:t>
      </w:r>
      <w:proofErr w:type="spellStart"/>
      <w:r>
        <w:t>TimeSeriesScalerMeanVariance</w:t>
      </w:r>
      <w:proofErr w:type="spellEnd"/>
      <w:r>
        <w:t>.</w:t>
      </w:r>
    </w:p>
    <w:p w14:paraId="685CB734" w14:textId="77777777" w:rsidR="008E3B12" w:rsidRDefault="00B5534C" w:rsidP="00B5534C">
      <w:pPr>
        <w:pStyle w:val="ListParagraph"/>
        <w:numPr>
          <w:ilvl w:val="0"/>
          <w:numId w:val="2"/>
        </w:numPr>
      </w:pPr>
      <w:r>
        <w:t xml:space="preserve">DTW Distances: Compute pairwise DTW using </w:t>
      </w:r>
      <w:proofErr w:type="spellStart"/>
      <w:r>
        <w:t>cdist_dtw</w:t>
      </w:r>
      <w:proofErr w:type="spellEnd"/>
      <w:r>
        <w:t>, yielding a symmetric distance matrix D.</w:t>
      </w:r>
    </w:p>
    <w:p w14:paraId="3F63C890" w14:textId="47ED360F" w:rsidR="00B5534C" w:rsidRDefault="00B5534C" w:rsidP="00B5534C">
      <w:pPr>
        <w:pStyle w:val="ListParagraph"/>
        <w:numPr>
          <w:ilvl w:val="0"/>
          <w:numId w:val="2"/>
        </w:numPr>
      </w:pPr>
      <w:r>
        <w:t xml:space="preserve">Visualization: A heatmap of D highlights clusters of similar </w:t>
      </w:r>
      <w:proofErr w:type="spellStart"/>
      <w:r>
        <w:t>behavior</w:t>
      </w:r>
      <w:proofErr w:type="spellEnd"/>
      <w:r>
        <w:t xml:space="preserve"> (Figure 1) </w:t>
      </w:r>
      <w:r>
        <w:rPr>
          <w:rFonts w:hint="eastAsia"/>
        </w:rPr>
        <w:t></w:t>
      </w:r>
      <w:proofErr w:type="spellStart"/>
      <w:r>
        <w:t>filecite</w:t>
      </w:r>
      <w:proofErr w:type="spellEnd"/>
      <w:r>
        <w:t>.</w:t>
      </w:r>
    </w:p>
    <w:p w14:paraId="7212231D" w14:textId="77777777" w:rsidR="00B5534C" w:rsidRDefault="00B5534C" w:rsidP="00B5534C"/>
    <w:p w14:paraId="471B7886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20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1. </w:t>
      </w:r>
      <w:r>
        <w:rPr>
          <w:rFonts w:ascii="Consolas" w:hAnsi="Consolas" w:cs="Courier New"/>
          <w:color w:val="000000"/>
          <w:sz w:val="17"/>
          <w:szCs w:val="17"/>
        </w:rPr>
        <w:t xml:space="preserve">X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to_time_series_dataset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list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ts_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dict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values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()))</w:t>
      </w:r>
    </w:p>
    <w:p w14:paraId="03EB7FC7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20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2.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X_scaled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scaler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fit_transform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C91B9A0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20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3. </w:t>
      </w:r>
      <w:r>
        <w:rPr>
          <w:rFonts w:ascii="Consolas" w:hAnsi="Consolas" w:cs="Courier New"/>
          <w:color w:val="000000"/>
          <w:sz w:val="17"/>
          <w:szCs w:val="17"/>
        </w:rPr>
        <w:t xml:space="preserve">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cdist_dtw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X_scaled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D8B2223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848520281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4.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715A0A43" w14:textId="77777777" w:rsidR="00B5534C" w:rsidRDefault="00B5534C" w:rsidP="00B5534C"/>
    <w:p w14:paraId="473AE11A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 xml:space="preserve">6. Clustering Methods </w:t>
      </w:r>
    </w:p>
    <w:p w14:paraId="4B80AB39" w14:textId="00AFF4A0" w:rsidR="00B5534C" w:rsidRDefault="00B5534C" w:rsidP="00B5534C">
      <w:r>
        <w:t>We explore two unsupervised algorithms on DTW distances:</w:t>
      </w:r>
    </w:p>
    <w:p w14:paraId="76C9F92C" w14:textId="77777777" w:rsidR="008E3B12" w:rsidRDefault="00B5534C" w:rsidP="00B5534C">
      <w:pPr>
        <w:pStyle w:val="ListParagraph"/>
        <w:numPr>
          <w:ilvl w:val="0"/>
          <w:numId w:val="3"/>
        </w:numPr>
      </w:pPr>
      <w:r>
        <w:t xml:space="preserve">Agglomerative Hierarchical Clustering (AHC) with </w:t>
      </w:r>
      <w:r w:rsidR="008E3B12">
        <w:t>complete</w:t>
      </w:r>
      <w:r>
        <w:t xml:space="preserve"> linkage on the precomputed D.</w:t>
      </w:r>
    </w:p>
    <w:p w14:paraId="5C70A757" w14:textId="0DB86A12" w:rsidR="00B5534C" w:rsidRDefault="00B5534C" w:rsidP="00B5534C">
      <w:pPr>
        <w:pStyle w:val="ListParagraph"/>
        <w:numPr>
          <w:ilvl w:val="0"/>
          <w:numId w:val="3"/>
        </w:numPr>
      </w:pPr>
      <w:r>
        <w:t>Density</w:t>
      </w:r>
      <w:r w:rsidRPr="008E3B12">
        <w:rPr>
          <w:rFonts w:ascii="Cambria Math" w:hAnsi="Cambria Math" w:cs="Cambria Math"/>
        </w:rPr>
        <w:t>‑</w:t>
      </w:r>
      <w:r>
        <w:t>Based Clustering (DBSCAN/HDBSCAN) using D as a precomputed distance metric.</w:t>
      </w:r>
    </w:p>
    <w:p w14:paraId="68D08F57" w14:textId="77777777" w:rsidR="00B5534C" w:rsidRDefault="00B5534C" w:rsidP="00B5534C"/>
    <w:p w14:paraId="43F481FC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lastRenderedPageBreak/>
        <w:t>6.1. Silhouette</w:t>
      </w:r>
      <w:r w:rsidRPr="008E3B12">
        <w:rPr>
          <w:rFonts w:ascii="Cambria Math" w:hAnsi="Cambria Math" w:cs="Cambria Math"/>
          <w:b/>
          <w:bCs/>
        </w:rPr>
        <w:t>‑</w:t>
      </w:r>
      <w:r w:rsidRPr="008E3B12">
        <w:rPr>
          <w:b/>
          <w:bCs/>
        </w:rPr>
        <w:t>Based Tuning</w:t>
      </w:r>
    </w:p>
    <w:p w14:paraId="47198512" w14:textId="0739728B" w:rsidR="00B5534C" w:rsidRDefault="00B5534C" w:rsidP="00B5534C">
      <w:r>
        <w:t>To select the optimal cluster count for AHC, we evaluate silhouette scores for k</w:t>
      </w:r>
      <w:r>
        <w:rPr>
          <w:rFonts w:ascii="Aptos" w:hAnsi="Aptos" w:cs="Aptos"/>
        </w:rPr>
        <w:t> </w:t>
      </w:r>
      <w:r>
        <w:t>=</w:t>
      </w:r>
      <w:r>
        <w:rPr>
          <w:rFonts w:ascii="Aptos" w:hAnsi="Aptos" w:cs="Aptos"/>
        </w:rPr>
        <w:t> </w:t>
      </w:r>
      <w:r>
        <w:t>2</w:t>
      </w:r>
      <w:r>
        <w:rPr>
          <w:rFonts w:ascii="Aptos" w:hAnsi="Aptos" w:cs="Aptos"/>
        </w:rPr>
        <w:t>…</w:t>
      </w:r>
      <w:r>
        <w:t>7:</w:t>
      </w:r>
    </w:p>
    <w:p w14:paraId="6346F5F4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1. </w:t>
      </w:r>
      <w:r>
        <w:rPr>
          <w:rFonts w:ascii="Consolas" w:hAnsi="Consolas" w:cs="Courier New"/>
          <w:color w:val="000000"/>
          <w:sz w:val="17"/>
          <w:szCs w:val="17"/>
        </w:rPr>
        <w:t xml:space="preserve">scores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45670A7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2.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k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32C766E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3.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labels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660066"/>
          <w:sz w:val="17"/>
          <w:szCs w:val="17"/>
        </w:rPr>
        <w:t>AgglomerativeClustering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17"/>
          <w:szCs w:val="17"/>
        </w:rPr>
        <w:t>n_clusters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0BC849E8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4.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metric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'precomputed'</w:t>
      </w:r>
      <w:r>
        <w:rPr>
          <w:rFonts w:ascii="Consolas" w:hAnsi="Consolas" w:cs="Courier New"/>
          <w:color w:val="666600"/>
          <w:sz w:val="17"/>
          <w:szCs w:val="17"/>
        </w:rPr>
        <w:t>,</w:t>
      </w:r>
    </w:p>
    <w:p w14:paraId="1DC80B25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5.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         linkage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'average'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605752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6.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 xml:space="preserve">  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fit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_predict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7102A633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7.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sil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silhouette_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score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labels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metric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8800"/>
          <w:sz w:val="17"/>
          <w:szCs w:val="17"/>
        </w:rPr>
        <w:t>'precomputed'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DAEE253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8. </w:t>
      </w: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0000"/>
          <w:sz w:val="17"/>
          <w:szCs w:val="17"/>
        </w:rPr>
        <w:t>k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sil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092D3DEE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 9.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opt_k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max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gramEnd"/>
      <w:r>
        <w:rPr>
          <w:rFonts w:ascii="Consolas" w:hAnsi="Consolas" w:cs="Courier New"/>
          <w:color w:val="000000"/>
          <w:sz w:val="17"/>
          <w:szCs w:val="17"/>
        </w:rPr>
        <w:t>scores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key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88"/>
          <w:sz w:val="17"/>
          <w:szCs w:val="17"/>
        </w:rPr>
        <w:t>lambda</w:t>
      </w:r>
      <w:r>
        <w:rPr>
          <w:rFonts w:ascii="Consolas" w:hAnsi="Consolas" w:cs="Courier New"/>
          <w:color w:val="000000"/>
          <w:sz w:val="17"/>
          <w:szCs w:val="17"/>
        </w:rPr>
        <w:t xml:space="preserve"> x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17"/>
          <w:szCs w:val="17"/>
        </w:rPr>
        <w:t>x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1</w:t>
      </w:r>
      <w:proofErr w:type="gramStart"/>
      <w:r>
        <w:rPr>
          <w:rFonts w:ascii="Consolas" w:hAnsi="Consolas" w:cs="Courier New"/>
          <w:color w:val="666600"/>
          <w:sz w:val="17"/>
          <w:szCs w:val="17"/>
        </w:rPr>
        <w:t>])[</w:t>
      </w:r>
      <w:proofErr w:type="gramEnd"/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27AD9AA5" w14:textId="77777777" w:rsidR="008E3B12" w:rsidRDefault="008E3B12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37228450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sz w:val="17"/>
          <w:szCs w:val="17"/>
        </w:rPr>
        <w:t xml:space="preserve">10. </w:t>
      </w: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162023E1" w14:textId="77777777" w:rsidR="00B5534C" w:rsidRDefault="00B5534C" w:rsidP="00B5534C"/>
    <w:p w14:paraId="6A0D2309" w14:textId="3D68F583" w:rsidR="00B5534C" w:rsidRDefault="00B5534C" w:rsidP="00B5534C">
      <w:r>
        <w:t>The maximum silhouette selects k = 2 for our data.</w:t>
      </w:r>
    </w:p>
    <w:p w14:paraId="1506083C" w14:textId="77777777" w:rsidR="00B5534C" w:rsidRDefault="00B5534C" w:rsidP="00B5534C"/>
    <w:p w14:paraId="12589E86" w14:textId="77777777" w:rsidR="008E3B12" w:rsidRDefault="00B5534C" w:rsidP="00B5534C">
      <w:r w:rsidRPr="008E3B12">
        <w:rPr>
          <w:b/>
          <w:bCs/>
        </w:rPr>
        <w:t>6.2. Final Clustering</w:t>
      </w:r>
      <w:r>
        <w:t xml:space="preserve"> </w:t>
      </w:r>
    </w:p>
    <w:p w14:paraId="237691DB" w14:textId="41EBE90E" w:rsidR="00B5534C" w:rsidRDefault="00B5534C" w:rsidP="00B5534C">
      <w:r>
        <w:t>With k=2, we assign each (Line, Reason, Shift) to one of two clusters via AHC. We also run HDBSCAN (fallback to DBSCAN if HDBSCAN unavailable) for density</w:t>
      </w:r>
      <w:r>
        <w:rPr>
          <w:rFonts w:ascii="Cambria Math" w:hAnsi="Cambria Math" w:cs="Cambria Math"/>
        </w:rPr>
        <w:t>‑</w:t>
      </w:r>
      <w:r>
        <w:t>based labels.</w:t>
      </w:r>
    </w:p>
    <w:p w14:paraId="16C650E8" w14:textId="77777777" w:rsidR="00B5534C" w:rsidRDefault="00B5534C" w:rsidP="00B5534C"/>
    <w:p w14:paraId="511A9FA9" w14:textId="77777777" w:rsidR="00B5534C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>7. Evaluation Metrics We compute:</w:t>
      </w:r>
    </w:p>
    <w:p w14:paraId="46E85AC4" w14:textId="77777777" w:rsidR="008E3B12" w:rsidRDefault="00B5534C" w:rsidP="00B5534C">
      <w:pPr>
        <w:pStyle w:val="ListParagraph"/>
        <w:numPr>
          <w:ilvl w:val="0"/>
          <w:numId w:val="4"/>
        </w:numPr>
      </w:pPr>
      <w:r>
        <w:t>Silhouette Score on D for AHC and density clusters.</w:t>
      </w:r>
    </w:p>
    <w:p w14:paraId="4F4890CA" w14:textId="07CC626B" w:rsidR="00B5534C" w:rsidRDefault="00B5534C" w:rsidP="00B5534C">
      <w:pPr>
        <w:pStyle w:val="ListParagraph"/>
        <w:numPr>
          <w:ilvl w:val="0"/>
          <w:numId w:val="4"/>
        </w:numPr>
      </w:pPr>
      <w:r>
        <w:t xml:space="preserve">Davies–Bouldin and </w:t>
      </w:r>
      <w:proofErr w:type="spellStart"/>
      <w:r>
        <w:t>Calinski</w:t>
      </w:r>
      <w:proofErr w:type="spellEnd"/>
      <w:r>
        <w:t>–</w:t>
      </w:r>
      <w:proofErr w:type="spellStart"/>
      <w:r>
        <w:t>Harabasz</w:t>
      </w:r>
      <w:proofErr w:type="spellEnd"/>
      <w:r>
        <w:t xml:space="preserve"> are omitted due to incompatibility with non</w:t>
      </w:r>
      <w:r w:rsidRPr="008E3B12">
        <w:rPr>
          <w:rFonts w:ascii="Cambria Math" w:hAnsi="Cambria Math" w:cs="Cambria Math"/>
        </w:rPr>
        <w:t>‑</w:t>
      </w:r>
      <w:r>
        <w:t>Euclidean distances.</w:t>
      </w:r>
    </w:p>
    <w:p w14:paraId="2DE77AC3" w14:textId="77777777" w:rsidR="00B5534C" w:rsidRDefault="00B5534C" w:rsidP="00B5534C"/>
    <w:p w14:paraId="245D5B77" w14:textId="561DEF4D" w:rsidR="00B5534C" w:rsidRDefault="00B5534C" w:rsidP="00B5534C">
      <w:r>
        <w:t>The AHC clusters achieve a silhouette of ~0.50 vs. ~0.18 for density-based, indicating tighter, more distinct grouping under the AHC solutio</w:t>
      </w:r>
      <w:r w:rsidR="008E3B12">
        <w:t>n</w:t>
      </w:r>
      <w:r>
        <w:t>.</w:t>
      </w:r>
    </w:p>
    <w:p w14:paraId="2C8AA8CB" w14:textId="77777777" w:rsidR="00B5534C" w:rsidRDefault="00B5534C" w:rsidP="00B5534C"/>
    <w:p w14:paraId="10679A10" w14:textId="04B1100E" w:rsidR="00B5534C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>8. Visualizations</w:t>
      </w:r>
    </w:p>
    <w:p w14:paraId="7C75228C" w14:textId="77777777" w:rsidR="008E3B12" w:rsidRDefault="00B5534C" w:rsidP="00B5534C">
      <w:pPr>
        <w:pStyle w:val="ListParagraph"/>
        <w:numPr>
          <w:ilvl w:val="0"/>
          <w:numId w:val="5"/>
        </w:numPr>
      </w:pPr>
      <w:r>
        <w:t>Dendrogram: Hierarchical tree for k=2 clusters to illustrate merge distances.</w:t>
      </w:r>
    </w:p>
    <w:p w14:paraId="01F9781E" w14:textId="77777777" w:rsidR="008E3B12" w:rsidRDefault="00B5534C" w:rsidP="00B5534C">
      <w:pPr>
        <w:pStyle w:val="ListParagraph"/>
        <w:numPr>
          <w:ilvl w:val="0"/>
          <w:numId w:val="5"/>
        </w:numPr>
      </w:pPr>
      <w:r>
        <w:t>Silhouette Plot: Distribution of silhouette coefficients by cluster, with average line to assess cohesion.</w:t>
      </w:r>
    </w:p>
    <w:p w14:paraId="65DEC68E" w14:textId="3A1CE7E8" w:rsidR="00B5534C" w:rsidRDefault="00B5534C" w:rsidP="00B5534C">
      <w:pPr>
        <w:pStyle w:val="ListParagraph"/>
        <w:numPr>
          <w:ilvl w:val="0"/>
          <w:numId w:val="5"/>
        </w:numPr>
      </w:pPr>
      <w:r>
        <w:t>Sample Time Series: Up to five representative sequences per cluster, exposing characteristic bottleneck patterns.</w:t>
      </w:r>
    </w:p>
    <w:p w14:paraId="2E742920" w14:textId="77777777" w:rsidR="00B5534C" w:rsidRDefault="00B5534C" w:rsidP="00B5534C"/>
    <w:p w14:paraId="6F34EEAF" w14:textId="77777777" w:rsidR="008E3B12" w:rsidRPr="008E3B12" w:rsidRDefault="00B5534C" w:rsidP="00B5534C">
      <w:pPr>
        <w:rPr>
          <w:b/>
          <w:bCs/>
        </w:rPr>
      </w:pPr>
      <w:r w:rsidRPr="008E3B12">
        <w:rPr>
          <w:b/>
          <w:bCs/>
        </w:rPr>
        <w:t>9. Results Export The final artifacts include:</w:t>
      </w:r>
    </w:p>
    <w:p w14:paraId="28D36372" w14:textId="77777777" w:rsidR="008E3B12" w:rsidRDefault="00B5534C" w:rsidP="00B5534C">
      <w:pPr>
        <w:pStyle w:val="ListParagraph"/>
        <w:numPr>
          <w:ilvl w:val="0"/>
          <w:numId w:val="6"/>
        </w:numPr>
      </w:pPr>
      <w:r>
        <w:t>clustering_metrics_stage1.csv: Silhouette scores per method.</w:t>
      </w:r>
    </w:p>
    <w:p w14:paraId="798E2CA7" w14:textId="77777777" w:rsidR="008E3B12" w:rsidRDefault="00B5534C" w:rsidP="00B5534C">
      <w:pPr>
        <w:pStyle w:val="ListParagraph"/>
        <w:numPr>
          <w:ilvl w:val="0"/>
          <w:numId w:val="6"/>
        </w:numPr>
      </w:pPr>
      <w:r>
        <w:lastRenderedPageBreak/>
        <w:t>cluster_assignments_stage1.csv: Table of group keys with assigned cluster labels.</w:t>
      </w:r>
    </w:p>
    <w:p w14:paraId="449BA83A" w14:textId="77777777" w:rsidR="008E3B12" w:rsidRDefault="00B5534C" w:rsidP="00B5534C">
      <w:pPr>
        <w:pStyle w:val="ListParagraph"/>
        <w:numPr>
          <w:ilvl w:val="0"/>
          <w:numId w:val="6"/>
        </w:numPr>
      </w:pPr>
      <w:r>
        <w:t>ts_dict_stage1.npy: Serialized dictionary of time series for downstream dashboards.</w:t>
      </w:r>
    </w:p>
    <w:p w14:paraId="552CDC2B" w14:textId="4AF21851" w:rsidR="00B5534C" w:rsidRDefault="00B5534C" w:rsidP="00B5534C">
      <w:pPr>
        <w:pStyle w:val="ListParagraph"/>
        <w:numPr>
          <w:ilvl w:val="0"/>
          <w:numId w:val="6"/>
        </w:numPr>
      </w:pPr>
      <w:r>
        <w:t>dendrogram_snapshot.png: Static dendrogram visualization.</w:t>
      </w:r>
    </w:p>
    <w:p w14:paraId="35072E05" w14:textId="77777777" w:rsidR="00B5534C" w:rsidRDefault="00B5534C" w:rsidP="00B5534C"/>
    <w:p w14:paraId="6F7D4BD5" w14:textId="2C0262A6" w:rsidR="00B5534C" w:rsidRDefault="00B5534C" w:rsidP="00B5534C">
      <w:r w:rsidRPr="008E3B12">
        <w:rPr>
          <w:b/>
          <w:bCs/>
        </w:rPr>
        <w:t>10. Conclusion Stage 1</w:t>
      </w:r>
      <w:r>
        <w:t xml:space="preserve"> of the clustering pipeline successfully identifies two major bottleneck </w:t>
      </w:r>
      <w:r w:rsidR="008E3B12">
        <w:t>behaviours</w:t>
      </w:r>
      <w:r>
        <w:t xml:space="preserve"> patterns across production lines and shifts. The DTW</w:t>
      </w:r>
      <w:r>
        <w:rPr>
          <w:rFonts w:ascii="Cambria Math" w:hAnsi="Cambria Math" w:cs="Cambria Math"/>
        </w:rPr>
        <w:t>‑</w:t>
      </w:r>
      <w:r>
        <w:t>based AHC approach outperforms density methods by silhouette score, suggesting strong, cohesive clusters. These insights enable targeted troubleshooting and continuous process optimization in subsequent stages.</w:t>
      </w:r>
    </w:p>
    <w:p w14:paraId="31EB6024" w14:textId="77777777" w:rsidR="00C06C3E" w:rsidRDefault="00C06C3E"/>
    <w:sectPr w:rsidR="00C0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234AB"/>
    <w:multiLevelType w:val="hybridMultilevel"/>
    <w:tmpl w:val="772A0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551077"/>
    <w:multiLevelType w:val="hybridMultilevel"/>
    <w:tmpl w:val="A71EA9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491C72"/>
    <w:multiLevelType w:val="hybridMultilevel"/>
    <w:tmpl w:val="086671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EA0B1B"/>
    <w:multiLevelType w:val="hybridMultilevel"/>
    <w:tmpl w:val="6266383A"/>
    <w:lvl w:ilvl="0" w:tplc="8424CD6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BC503F"/>
    <w:multiLevelType w:val="hybridMultilevel"/>
    <w:tmpl w:val="7ADCAA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20125"/>
    <w:multiLevelType w:val="hybridMultilevel"/>
    <w:tmpl w:val="61E279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2E6B0F"/>
    <w:multiLevelType w:val="hybridMultilevel"/>
    <w:tmpl w:val="D3086E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C166D8"/>
    <w:multiLevelType w:val="hybridMultilevel"/>
    <w:tmpl w:val="7F4044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3509BD"/>
    <w:multiLevelType w:val="hybridMultilevel"/>
    <w:tmpl w:val="6A56F9F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3042050">
    <w:abstractNumId w:val="1"/>
  </w:num>
  <w:num w:numId="2" w16cid:durableId="1063796568">
    <w:abstractNumId w:val="2"/>
  </w:num>
  <w:num w:numId="3" w16cid:durableId="1212839612">
    <w:abstractNumId w:val="4"/>
  </w:num>
  <w:num w:numId="4" w16cid:durableId="1928927509">
    <w:abstractNumId w:val="6"/>
  </w:num>
  <w:num w:numId="5" w16cid:durableId="951664056">
    <w:abstractNumId w:val="7"/>
  </w:num>
  <w:num w:numId="6" w16cid:durableId="414521018">
    <w:abstractNumId w:val="0"/>
  </w:num>
  <w:num w:numId="7" w16cid:durableId="453402180">
    <w:abstractNumId w:val="5"/>
  </w:num>
  <w:num w:numId="8" w16cid:durableId="1200779929">
    <w:abstractNumId w:val="8"/>
  </w:num>
  <w:num w:numId="9" w16cid:durableId="1172631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4C"/>
    <w:rsid w:val="004C3593"/>
    <w:rsid w:val="007A0933"/>
    <w:rsid w:val="008E3B12"/>
    <w:rsid w:val="00B5534C"/>
    <w:rsid w:val="00C06C3E"/>
    <w:rsid w:val="00E10A18"/>
    <w:rsid w:val="00E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0EE5A"/>
  <w15:chartTrackingRefBased/>
  <w15:docId w15:val="{6DB9CF31-06B0-4F15-9F2F-97E868D30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3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3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3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3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3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3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3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3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3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3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3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3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3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3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3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3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3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3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3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3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3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3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3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3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3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3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3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3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34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E3B1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lang w:eastAsia="en-NG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47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55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2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7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1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7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2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6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8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60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72553CF7-F2B3-4D25-BC6B-96BCA48684BB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Akerekan</dc:creator>
  <cp:keywords/>
  <dc:description/>
  <cp:lastModifiedBy>Olayinka Akerekan</cp:lastModifiedBy>
  <cp:revision>2</cp:revision>
  <dcterms:created xsi:type="dcterms:W3CDTF">2025-05-22T11:04:00Z</dcterms:created>
  <dcterms:modified xsi:type="dcterms:W3CDTF">2025-05-22T11:04:00Z</dcterms:modified>
</cp:coreProperties>
</file>