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85430"/>
        </w:rPr>
        <w:t>Portland City Council Budget Work Session Forecast Update &amp; Service Area Follow Up  04/08/26</w:t>
      </w:r>
    </w:p>
    <w:tbl>
      <w:tblPr>
        <w:tblStyle w:val="LightGrid-Accent1"/>
        <w:tblW w:type="auto" w:w="0"/>
        <w:tblLook w:firstColumn="1" w:firstRow="1" w:lastColumn="0" w:lastRow="0" w:noHBand="0" w:noVBand="1" w:val="04A0"/>
      </w:tblPr>
      <w:tblGrid>
        <w:gridCol w:w="5040"/>
        <w:gridCol w:w="5040"/>
      </w:tblGrid>
      <w:tr>
        <w:tc>
          <w:tcPr>
            <w:tcW w:type="dxa" w:w="5040"/>
          </w:tcPr>
          <w:p>
            <w:r>
              <w:rPr>
                <w:b/>
                <w:color w:val="185430"/>
                <w:sz w:val="18"/>
              </w:rPr>
              <w:t>Date</w:t>
            </w:r>
          </w:p>
        </w:tc>
        <w:tc>
          <w:tcPr>
            <w:tcW w:type="dxa" w:w="5040"/>
          </w:tcPr>
          <w:p>
            <w:r>
              <w:rPr>
                <w:color w:val="404040"/>
                <w:sz w:val="18"/>
              </w:rPr>
              <w:t>2026-04-09</w:t>
            </w:r>
          </w:p>
        </w:tc>
      </w:tr>
      <w:tr>
        <w:tc>
          <w:tcPr>
            <w:tcW w:type="dxa" w:w="5040"/>
          </w:tcPr>
          <w:p>
            <w:r>
              <w:rPr>
                <w:b/>
                <w:color w:val="185430"/>
                <w:sz w:val="18"/>
              </w:rPr>
              <w:t>Duration</w:t>
            </w:r>
          </w:p>
        </w:tc>
        <w:tc>
          <w:tcPr>
            <w:tcW w:type="dxa" w:w="5040"/>
          </w:tcPr>
          <w:p>
            <w:r>
              <w:rPr>
                <w:color w:val="404040"/>
                <w:sz w:val="18"/>
              </w:rPr>
              <w:t>155 minutes</w:t>
            </w:r>
          </w:p>
        </w:tc>
      </w:tr>
      <w:tr>
        <w:tc>
          <w:tcPr>
            <w:tcW w:type="dxa" w:w="5040"/>
          </w:tcPr>
          <w:p>
            <w:r>
              <w:rPr>
                <w:b/>
                <w:color w:val="185430"/>
                <w:sz w:val="18"/>
              </w:rPr>
              <w:t>Source</w:t>
            </w:r>
          </w:p>
        </w:tc>
        <w:tc>
          <w:tcPr>
            <w:tcW w:type="dxa" w:w="5040"/>
          </w:tcPr>
          <w:p>
            <w:r>
              <w:rPr>
                <w:color w:val="404040"/>
                <w:sz w:val="18"/>
              </w:rPr>
              <w:t>https://www.youtube.com/watch?v=qmOxoBMNhf4</w:t>
            </w:r>
          </w:p>
        </w:tc>
      </w:tr>
      <w:tr>
        <w:tc>
          <w:tcPr>
            <w:tcW w:type="dxa" w:w="5040"/>
          </w:tcPr>
          <w:p>
            <w:r>
              <w:rPr>
                <w:b/>
                <w:color w:val="185430"/>
                <w:sz w:val="18"/>
              </w:rPr>
              <w:t>Transcription</w:t>
            </w:r>
          </w:p>
        </w:tc>
        <w:tc>
          <w:tcPr>
            <w:tcW w:type="dxa" w:w="5040"/>
          </w:tcPr>
          <w:p>
            <w:r>
              <w:rPr>
                <w:color w:val="404040"/>
                <w:sz w:val="18"/>
              </w:rPr>
              <w:t>AssemblyAI (speaker diarization enabled)</w:t>
            </w:r>
          </w:p>
        </w:tc>
      </w:tr>
      <w:tr>
        <w:tc>
          <w:tcPr>
            <w:tcW w:type="dxa" w:w="5040"/>
          </w:tcPr>
          <w:p>
            <w:r>
              <w:rPr>
                <w:b/>
                <w:color w:val="185430"/>
                <w:sz w:val="18"/>
              </w:rPr>
              <w:t>Processed</w:t>
            </w:r>
          </w:p>
        </w:tc>
        <w:tc>
          <w:tcPr>
            <w:tcW w:type="dxa" w:w="5040"/>
          </w:tcPr>
          <w:p>
            <w:r>
              <w:rPr>
                <w:color w:val="404040"/>
                <w:sz w:val="18"/>
              </w:rPr>
              <w:t>2026-04-10 22:53 UTC</w:t>
            </w:r>
          </w:p>
        </w:tc>
      </w:tr>
    </w:tbl>
    <w:p/>
    <w:p>
      <w:pPr>
        <w:pStyle w:val="Heading2"/>
      </w:pPr>
      <w:r>
        <w:rPr>
          <w:color w:val="185430"/>
        </w:rPr>
        <w:t>EXECUTIVE SUMMARY</w:t>
      </w:r>
    </w:p>
    <w:p>
      <w:r>
        <w:rPr>
          <w:color w:val="404040"/>
          <w:sz w:val="20"/>
        </w:rPr>
        <w:t>This 155-minute Housing and Permitting Committee session focused primarily on two major housing finance ordinances. The first item established Portland's implementation of the state's Moderate Income Revolving Loan Program (MIRL), a new financing tool using no-interest state funds to support housing for middle-income households earning 50-120% of area median income. The second and more substantial item was a supplemental budget ordinance allocating $56 million in previously unspent Portland Housing Bureau funds across prevention, stabilization, and housing development programs. Committee Chair Candace Avalos (District 1) emphasized the urgency of the housing crisis, with Vice Chair Mitch Green (District 4) and co-sponsors including Angelita Morillo (District 3) highlighting the need for both immediate crisis response and long-term structural solutions. The session featured extensive public testimony from housing advocates, service providers, and residents supporting the funding package, with particular emphasis on eviction prevention and social housing acquisition.</w:t>
      </w:r>
    </w:p>
    <w:p>
      <w:r>
        <w:rPr>
          <w:color w:val="404040"/>
          <w:sz w:val="20"/>
        </w:rPr>
        <w:t>The committee successfully passed both ordinances with amendments after robust discussion about program administration, funding thresholds, and strategic priorities. Multiple councilors proposed amendments reflecting different approaches to implementation, with Elana Pirtle-Guiney (District 2) successfully advocating for lowered unit minimums and expanded income targeting. Steve Novick (District 3) proposed more substantial restructuring that did not gain support, while Mitch Green (District 4) raised governance concerns about delegating program oversight to Prosper Portland. The overall tone was collaborative but urgent, with broad agreement on the need to deploy housing resources quickly while maintaining accountability and strategic focus.</w:t>
      </w:r>
    </w:p>
    <w:p>
      <w:pPr>
        <w:pStyle w:val="Heading2"/>
      </w:pPr>
      <w:r>
        <w:rPr>
          <w:color w:val="185430"/>
        </w:rPr>
        <w:t>KEY VOTES &amp; ACTIONS</w:t>
      </w:r>
    </w:p>
    <w:p>
      <w:pPr>
        <w:pStyle w:val="ListBullet"/>
      </w:pPr>
      <w:r>
        <w:rPr>
          <w:color w:val="404040"/>
          <w:sz w:val="20"/>
        </w:rPr>
        <w:t>Moderate Income Revolving Loan Program ordinance: Passed as amended 4-1 with amendments lowering minimum unit threshold from 75 to 20 units, expanding income eligibility from 60-120% to 50-120% AMI, and removing mixed-use development requirements. Mitch Green (District 4) voted no due to concerns about program administration and oversight [00:49:10]</w:t>
      </w:r>
    </w:p>
    <w:p>
      <w:pPr>
        <w:pStyle w:val="ListBullet"/>
      </w:pPr>
      <w:r>
        <w:rPr>
          <w:color w:val="404040"/>
          <w:sz w:val="20"/>
        </w:rPr>
        <w:t>Portland Housing Bureau supplemental budget ordinance ($56 million allocation): Advanced to full council with multiple amendments pending further discussion. The package includes $9 million for rent assistance, $8.8 million for debt buydowns, $10 million for social housing acquisition, and various other housing stability investments [01:00:00]</w:t>
      </w:r>
    </w:p>
    <w:p>
      <w:pPr>
        <w:pStyle w:val="ListBullet"/>
      </w:pPr>
      <w:r>
        <w:rPr>
          <w:color w:val="404040"/>
          <w:sz w:val="20"/>
        </w:rPr>
        <w:t>Rejected amendment (Green 1): Failed 2-3, which would have transferred program administration from Prosper Portland to Portland Housing Bureau and made other structural changes [00:45:15]</w:t>
      </w:r>
    </w:p>
    <w:p>
      <w:pPr>
        <w:pStyle w:val="ListBullet"/>
      </w:pPr>
      <w:r>
        <w:rPr>
          <w:color w:val="404040"/>
          <w:sz w:val="20"/>
        </w:rPr>
        <w:t>Approved amendment (Pirtle-Guiney 1): Passed 5-0, modifying MIRL program eligibility and unit minimums [00:48:00]</w:t>
      </w:r>
    </w:p>
    <w:p>
      <w:pPr>
        <w:pStyle w:val="Heading2"/>
      </w:pPr>
      <w:r>
        <w:rPr>
          <w:color w:val="185430"/>
        </w:rPr>
        <w:t>TOPIC FLAGS</w:t>
      </w:r>
    </w:p>
    <w:p>
      <w:r>
        <w:rPr>
          <w:color w:val="404040"/>
          <w:sz w:val="20"/>
        </w:rPr>
        <w:t>Real Estate &amp; Housing</w:t>
      </w:r>
    </w:p>
    <w:p>
      <w:r>
        <w:rPr>
          <w:color w:val="404040"/>
          <w:sz w:val="20"/>
        </w:rPr>
        <w:t>Extensive discussion of two major housing finance tools and funding allocations. Andrea Jacob from Bureau of Planning and Sustainability and Sarah Harpole from Prosper Portland presented the MIRL program, which leverages tax increment financing and fee-in-lieu mechanisms to support moderate-income housing development [00:11:09]. The $56 million supplemental budget represents a comprehensive approach to housing stability, with significant debate over social housing acquisition versus traditional affordable housing development. Robert Pyle from Oak Leaf Redevelopment testified about removing unit minimums to enable more missing middle housing projects [00:21:38]. This has major implications for Portland's housing production strategy and could significantly impact multifamily development patterns.</w:t>
      </w:r>
    </w:p>
    <w:p>
      <w:r>
        <w:rPr>
          <w:color w:val="404040"/>
          <w:sz w:val="20"/>
        </w:rPr>
        <w:t>System Development Charges (SDCs) &amp; Permitting Fees</w:t>
      </w:r>
    </w:p>
    <w:p>
      <w:r>
        <w:rPr>
          <w:color w:val="404040"/>
          <w:sz w:val="20"/>
        </w:rPr>
        <w:t>The supplemental budget includes $10.7 million in Construction Excise Tax funds being reallocated for housing purposes [00:50:49]. Multiple testifiers discussed the need for fee waivers and streamlined permitting to support affordable housing development. The MIRL program specifically addresses financing gaps that prevent penciling out of larger multifamily projects due to regulatory costs and market conditions [00:13:02]. These discussions directly impact development feasibility and SDC policy framework.</w:t>
      </w:r>
    </w:p>
    <w:p>
      <w:r>
        <w:rPr>
          <w:color w:val="404040"/>
          <w:sz w:val="20"/>
        </w:rPr>
        <w:t>City Budget &amp; Finance</w:t>
      </w:r>
    </w:p>
    <w:p>
      <w:r>
        <w:rPr>
          <w:color w:val="404040"/>
          <w:sz w:val="20"/>
        </w:rPr>
        <w:t>Major focus on $56 million in previously unallocated housing funds across multiple revenue streams including Rental Services Office funds ($20.7M), Short-Term Rental Tax ($19.7M), and River District TIF ($4.8M) [00:50:49]. Significant debate over returning $4 million to general fund versus maintaining all resources for housing purposes. Multiple councilors and testifiers opposed general fund allocation, arguing housing dollars should remain dedicated to housing crisis response [01:19:15]. Financial sustainability of affordable housing operations was major theme, with providers describing increasing costs for serving high-acuity populations.</w:t>
      </w:r>
    </w:p>
    <w:p>
      <w:r>
        <w:rPr>
          <w:color w:val="404040"/>
          <w:sz w:val="20"/>
        </w:rPr>
        <w:t>Land Use &amp; Zoning</w:t>
      </w:r>
    </w:p>
    <w:p>
      <w:r>
        <w:rPr>
          <w:color w:val="404040"/>
          <w:sz w:val="20"/>
        </w:rPr>
        <w:t>MIRL program specifically targets higher-density multifamily housing development near transit corridors [00:13:53]. Discussion of geographic targeting across different districts and TIF zones, with examples of potential projects in Lents, Interstate, Lloyd, 82nd Avenue, and Westside districts [00:16:59]. Social housing acquisition component could remove properties from speculative market permanently, representing significant land use policy shift toward public ownership models.</w:t>
      </w:r>
    </w:p>
    <w:p>
      <w:r>
        <w:rPr>
          <w:color w:val="404040"/>
          <w:sz w:val="20"/>
        </w:rPr>
        <w:t>Homelessness &amp; Shelter Policy</w:t>
      </w:r>
    </w:p>
    <w:p>
      <w:r>
        <w:rPr>
          <w:color w:val="404040"/>
          <w:sz w:val="20"/>
        </w:rPr>
        <w:t>Substantial testimony about preventing inflow into homelessness through eviction prevention, with data showing 300 people monthly entering homelessness in Multnomah County [00:54:34]. Andy Miller from Our Just Future highlighted risk of 600 occupied shelter beds closing due to budget cuts [01:28:45]. Multiple service providers testified about rent assistance effectiveness, with average eviction amounts around $3,000 according to Oregon Law Center [01:36:15].</w:t>
      </w:r>
    </w:p>
    <w:p>
      <w:pPr>
        <w:pStyle w:val="Heading2"/>
      </w:pPr>
      <w:r>
        <w:rPr>
          <w:color w:val="185430"/>
        </w:rPr>
        <w:t>UPCOMING &amp; FOLLOW-UP</w:t>
      </w:r>
    </w:p>
    <w:p>
      <w:pPr>
        <w:pStyle w:val="ListBullet"/>
      </w:pPr>
      <w:r>
        <w:rPr>
          <w:color w:val="404040"/>
          <w:sz w:val="20"/>
        </w:rPr>
        <w:t>Both ordinances will be presented to full Portland City Council as amendments to the Technical Adjustment Ordinance (TAO) following this committee session</w:t>
      </w:r>
    </w:p>
    <w:p>
      <w:pPr>
        <w:pStyle w:val="ListBullet"/>
      </w:pPr>
      <w:r>
        <w:rPr>
          <w:color w:val="404040"/>
          <w:sz w:val="20"/>
        </w:rPr>
        <w:t>Master agreements required between OHCS, City, and County for MIRL program implementation before fall 2026 launch [00:18:14]</w:t>
      </w:r>
    </w:p>
    <w:p>
      <w:pPr>
        <w:pStyle w:val="ListBullet"/>
      </w:pPr>
      <w:r>
        <w:rPr>
          <w:color w:val="404040"/>
          <w:sz w:val="20"/>
        </w:rPr>
        <w:t>Continued discussion needed on MIRL program administration structure and oversight mechanisms before full council vote</w:t>
      </w:r>
    </w:p>
    <w:p>
      <w:pPr>
        <w:pStyle w:val="ListBullet"/>
      </w:pPr>
      <w:r>
        <w:rPr>
          <w:color w:val="404040"/>
          <w:sz w:val="20"/>
        </w:rPr>
        <w:t>Future Notice of Funding Availability (NOFA) for $12.6 million in housing development funds to be developed</w:t>
      </w:r>
    </w:p>
    <w:p>
      <w:pPr>
        <w:pStyle w:val="ListBullet"/>
      </w:pPr>
      <w:r>
        <w:rPr>
          <w:color w:val="404040"/>
          <w:sz w:val="20"/>
        </w:rPr>
        <w:t>Geographic equity analysis needed for rent assistance distribution, particularly for East Portland investments</w:t>
      </w:r>
    </w:p>
    <w:sectPr w:rsidR="00FC693F" w:rsidRPr="0006063C" w:rsidSect="00034616">
      <w:headerReference w:type="default" r:id="rId9"/>
      <w:footerReference w:type="default" r:id="rId10"/>
      <w:pgSz w:w="12240" w:h="15840"/>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4"/>
      </w:rPr>
      <w:t>Portland City Council Monitor  |  oakleaf.dev  |  Confidential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85430"/>
        <w:sz w:val="28"/>
      </w:rPr>
      <w:t>Oakleaf reDevelopment</w:t>
    </w:r>
    <w:r>
      <w:rPr>
        <w:sz w:val="18"/>
      </w:rPr>
      <w:t xml:space="preserve">  |  </w:t>
    </w:r>
    <w:r>
      <w:rPr>
        <w:color w:val="404040"/>
        <w:sz w:val="18"/>
      </w:rPr>
      <w:t>Portland City Council Budget Work Session Forecast Update &amp; Service Area Follow Up  04/08/26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