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85430"/>
        </w:rPr>
        <w:t>Portland City Council Regular AM Session 04/08/26</w:t>
      </w:r>
    </w:p>
    <w:tbl>
      <w:tblPr>
        <w:tblStyle w:val="LightGrid-Accent1"/>
        <w:tblW w:type="auto" w:w="0"/>
        <w:tblLook w:firstColumn="1" w:firstRow="1" w:lastColumn="0" w:lastRow="0" w:noHBand="0" w:noVBand="1" w:val="04A0"/>
      </w:tblPr>
      <w:tblGrid>
        <w:gridCol w:w="5040"/>
        <w:gridCol w:w="5040"/>
      </w:tblGrid>
      <w:tr>
        <w:tc>
          <w:tcPr>
            <w:tcW w:type="dxa" w:w="5040"/>
          </w:tcPr>
          <w:p>
            <w:r>
              <w:rPr>
                <w:b/>
                <w:color w:val="185430"/>
                <w:sz w:val="18"/>
              </w:rPr>
              <w:t>Date</w:t>
            </w:r>
          </w:p>
        </w:tc>
        <w:tc>
          <w:tcPr>
            <w:tcW w:type="dxa" w:w="5040"/>
          </w:tcPr>
          <w:p>
            <w:r>
              <w:rPr>
                <w:color w:val="404040"/>
                <w:sz w:val="18"/>
              </w:rPr>
              <w:t>2026-04-08</w:t>
            </w:r>
          </w:p>
        </w:tc>
      </w:tr>
      <w:tr>
        <w:tc>
          <w:tcPr>
            <w:tcW w:type="dxa" w:w="5040"/>
          </w:tcPr>
          <w:p>
            <w:r>
              <w:rPr>
                <w:b/>
                <w:color w:val="185430"/>
                <w:sz w:val="18"/>
              </w:rPr>
              <w:t>Duration</w:t>
            </w:r>
          </w:p>
        </w:tc>
        <w:tc>
          <w:tcPr>
            <w:tcW w:type="dxa" w:w="5040"/>
          </w:tcPr>
          <w:p>
            <w:r>
              <w:rPr>
                <w:color w:val="404040"/>
                <w:sz w:val="18"/>
              </w:rPr>
              <w:t>252 minutes</w:t>
            </w:r>
          </w:p>
        </w:tc>
      </w:tr>
      <w:tr>
        <w:tc>
          <w:tcPr>
            <w:tcW w:type="dxa" w:w="5040"/>
          </w:tcPr>
          <w:p>
            <w:r>
              <w:rPr>
                <w:b/>
                <w:color w:val="185430"/>
                <w:sz w:val="18"/>
              </w:rPr>
              <w:t>Source</w:t>
            </w:r>
          </w:p>
        </w:tc>
        <w:tc>
          <w:tcPr>
            <w:tcW w:type="dxa" w:w="5040"/>
          </w:tcPr>
          <w:p>
            <w:r>
              <w:rPr>
                <w:color w:val="404040"/>
                <w:sz w:val="18"/>
              </w:rPr>
              <w:t>https://www.youtube.com/watch?v=6bMxoR-Sb34</w:t>
            </w:r>
          </w:p>
        </w:tc>
      </w:tr>
      <w:tr>
        <w:tc>
          <w:tcPr>
            <w:tcW w:type="dxa" w:w="5040"/>
          </w:tcPr>
          <w:p>
            <w:r>
              <w:rPr>
                <w:b/>
                <w:color w:val="185430"/>
                <w:sz w:val="18"/>
              </w:rPr>
              <w:t>Transcription</w:t>
            </w:r>
          </w:p>
        </w:tc>
        <w:tc>
          <w:tcPr>
            <w:tcW w:type="dxa" w:w="5040"/>
          </w:tcPr>
          <w:p>
            <w:r>
              <w:rPr>
                <w:color w:val="404040"/>
                <w:sz w:val="18"/>
              </w:rPr>
              <w:t>AssemblyAI (speaker diarization enabled)</w:t>
            </w:r>
          </w:p>
        </w:tc>
      </w:tr>
      <w:tr>
        <w:tc>
          <w:tcPr>
            <w:tcW w:type="dxa" w:w="5040"/>
          </w:tcPr>
          <w:p>
            <w:r>
              <w:rPr>
                <w:b/>
                <w:color w:val="185430"/>
                <w:sz w:val="18"/>
              </w:rPr>
              <w:t>Processed</w:t>
            </w:r>
          </w:p>
        </w:tc>
        <w:tc>
          <w:tcPr>
            <w:tcW w:type="dxa" w:w="5040"/>
          </w:tcPr>
          <w:p>
            <w:r>
              <w:rPr>
                <w:color w:val="404040"/>
                <w:sz w:val="18"/>
              </w:rPr>
              <w:t>2026-04-13 16:19 UTC</w:t>
            </w:r>
          </w:p>
        </w:tc>
      </w:tr>
    </w:tbl>
    <w:p/>
    <w:p>
      <w:pPr>
        <w:pStyle w:val="Heading2"/>
      </w:pPr>
      <w:r>
        <w:rPr>
          <w:color w:val="185430"/>
        </w:rPr>
        <w:t>EXECUTIVE SUMMARY</w:t>
      </w:r>
    </w:p>
    <w:p>
      <w:r>
        <w:rPr>
          <w:color w:val="404040"/>
          <w:sz w:val="20"/>
        </w:rPr>
        <w:t>The April 8, 2026 Portland City Council meeting was dominated by debate over allocating $137 million in previously unbudgeted Portland Housing Bureau funds discovered during budget reconciliation. While the session began with routine items including transportation safety grants and business license tax adjustments, the bulk of the 4+ hour meeting focused on the Spring Technical Adjustment Ordinance and competing amendments for housing fund allocation. Mayor Keith Wilson presided over a council dealing with significant fiscal pressures, including a $15 million interfund loan needed to prevent the Health Insurance Operating Fund from going negative. The tone was often contentious, particularly during debate over housing amendments, with Councilor Loretta Smith (District 1) expressing frustration about previous agenda item removals and advocating strongly for her $40 million housing amendment. Multiple councilors filed competing amendments, creating a complex debate about housing priorities, project selection processes, and equity considerations.</w:t>
      </w:r>
    </w:p>
    <w:p>
      <w:r>
        <w:rPr>
          <w:color w:val="404040"/>
          <w:sz w:val="20"/>
        </w:rPr>
        <w:t>The meeting featured extensive public testimony from housing advocates, nonprofit organizations, and community members urging immediate action on housing funds. Speakers consistently emphasized the urgency of the housing crisis and criticized delays in fund allocation. The debate revealed philosophical differences among councilors about whether to fund specific projects versus establishing broad programmatic funds, with particular tension around homeownership opportunities for communities of color versus general rental assistance programs. Technical discussions about fund balances and budget mechanics were overshadowed by broader policy disagreements about housing strategy and community equity.</w:t>
      </w:r>
    </w:p>
    <w:p>
      <w:pPr>
        <w:pStyle w:val="Heading2"/>
      </w:pPr>
      <w:r>
        <w:rPr>
          <w:color w:val="185430"/>
        </w:rPr>
        <w:t>KEY VOTES &amp; ACTIONS</w:t>
      </w:r>
    </w:p>
    <w:p>
      <w:pPr>
        <w:pStyle w:val="ListBullet"/>
      </w:pPr>
      <w:r>
        <w:rPr>
          <w:color w:val="404040"/>
          <w:sz w:val="20"/>
        </w:rPr>
        <w:t>Consent agenda approved with 10 yes votes and 2 absent [00:30:22]</w:t>
      </w:r>
    </w:p>
    <w:p>
      <w:pPr>
        <w:pStyle w:val="ListBullet"/>
      </w:pPr>
      <w:r>
        <w:rPr>
          <w:color w:val="404040"/>
          <w:sz w:val="20"/>
        </w:rPr>
        <w:t>Item 5 (transportation safety grants totaling $322,555) passed with 10 yes votes and 2 absent [00:31:24]</w:t>
      </w:r>
    </w:p>
    <w:p>
      <w:pPr>
        <w:pStyle w:val="ListBullet"/>
      </w:pPr>
      <w:r>
        <w:rPr>
          <w:color w:val="404040"/>
          <w:sz w:val="20"/>
        </w:rPr>
        <w:t>Item 6 (business license tax gross receipts exemption amendment) passed with 11 yes votes and 1 absent [00:32:27]</w:t>
      </w:r>
    </w:p>
    <w:p>
      <w:pPr>
        <w:pStyle w:val="ListBullet"/>
      </w:pPr>
      <w:r>
        <w:rPr>
          <w:color w:val="404040"/>
          <w:sz w:val="20"/>
        </w:rPr>
        <w:t>Item 7 ($15 million interfund loan from Facilities Services Fund to Health Insurance Operating Fund) passed as emergency ordinance with 11 yes votes and 1 absent [00:52:50]</w:t>
      </w:r>
    </w:p>
    <w:p>
      <w:pPr>
        <w:pStyle w:val="ListBullet"/>
      </w:pPr>
      <w:r>
        <w:rPr>
          <w:color w:val="404040"/>
          <w:sz w:val="20"/>
        </w:rPr>
        <w:t>Item 8 (Spring Technical Adjustment Ordinance) received first reading only - no final vote taken, with multiple amendments filed for future consideration</w:t>
      </w:r>
    </w:p>
    <w:p>
      <w:pPr>
        <w:pStyle w:val="Heading2"/>
      </w:pPr>
      <w:r>
        <w:rPr>
          <w:color w:val="185430"/>
        </w:rPr>
        <w:t>TOPIC FLAGS</w:t>
      </w:r>
    </w:p>
    <w:p>
      <w:r>
        <w:rPr>
          <w:color w:val="404040"/>
          <w:sz w:val="20"/>
        </w:rPr>
      </w:r>
      <w:r>
        <w:rPr>
          <w:b/>
          <w:color w:val="404040"/>
          <w:sz w:val="20"/>
        </w:rPr>
        <w:t>City Budget &amp; Finance</w:t>
      </w:r>
      <w:r>
        <w:rPr>
          <w:color w:val="404040"/>
          <w:sz w:val="20"/>
        </w:rPr>
      </w:r>
    </w:p>
    <w:p>
      <w:r>
        <w:rPr>
          <w:color w:val="404040"/>
          <w:sz w:val="20"/>
        </w:rPr>
        <w:t>Multiple budget-related items dominated the agenda. The $15 million interfund loan was necessitated by the Health Insurance Operating Fund projected to go negative, violating state budget law [00:34:11]. CFO Jonas Beery and Budget Director Ruth Levine explained the loan would be repaid in FY 26-27 with interest based on city investment returns [00:38:06]. The Spring TAO addresses general fund revenue shortfalls and reconciles fund balances with audited financial statements [00:55:17]. Councilor Sameer Kanal (District 2) unsuccessfully moved to remove the emergency clause from the interfund loan, arguing emergency ordinances are overused [00:50:14]. The discovered $137 million in unbudgeted Housing Bureau funds became the central budget debate, with multiple competing amendments for allocation [00:58:02]. This represents significant fiscal capacity for housing initiatives while highlighting budget management and transparency concerns.</w:t>
      </w:r>
    </w:p>
    <w:p>
      <w:r>
        <w:rPr>
          <w:color w:val="404040"/>
          <w:sz w:val="20"/>
        </w:rPr>
      </w:r>
      <w:r>
        <w:rPr>
          <w:b/>
          <w:color w:val="404040"/>
          <w:sz w:val="20"/>
        </w:rPr>
        <w:t>Real Estate &amp; Housing</w:t>
      </w:r>
      <w:r>
        <w:rPr>
          <w:color w:val="404040"/>
          <w:sz w:val="20"/>
        </w:rPr>
      </w:r>
    </w:p>
    <w:p>
      <w:r>
        <w:rPr>
          <w:color w:val="404040"/>
          <w:sz w:val="20"/>
        </w:rPr>
        <w:t>The $137 million in unbudgeted Portland Housing Bureau funds sparked the meeting's primary debate [00:58:02]. Councilor Loretta Smith (District 1) proposed a $40 million amendment allocating $20 million for rental assistance, $3.5 million for Hacienda CDC, and funding for various community development projects [01:05:00]. The Avalos-Green-Dunphy-Morillo amendment emerged from Housing Committee deliberations, focusing on debt buydowns and revolving loan funds [01:16:04]. Councilor Elana Pirtle-Guiney (District 2) filed four amendments, including $3 million for deeply affordable supportive housing preservation and restoration of specific homeownership projects [01:22:29]. Testimony emphasized urgent need for rental assistance and eviction prevention, with speakers from Welcome Home Coalition and other advocates demanding immediate action [01:40:39]. The debate revealed tensions between funding specific projects versus programmatic approaches, with particular focus on homeownership opportunities for communities of color versus broader rental assistance. This represents the largest potential housing investment opportunity in recent city history, with significant implications for affordable housing development and anti-displacement efforts.</w:t>
      </w:r>
    </w:p>
    <w:p>
      <w:r>
        <w:rPr>
          <w:color w:val="404040"/>
          <w:sz w:val="20"/>
        </w:rPr>
      </w:r>
      <w:r>
        <w:rPr>
          <w:b/>
          <w:color w:val="404040"/>
          <w:sz w:val="20"/>
        </w:rPr>
        <w:t>Homelessness &amp; Shelter Policy</w:t>
      </w:r>
      <w:r>
        <w:rPr>
          <w:color w:val="404040"/>
          <w:sz w:val="20"/>
        </w:rPr>
      </w:r>
    </w:p>
    <w:p>
      <w:r>
        <w:rPr>
          <w:color w:val="404040"/>
          <w:sz w:val="20"/>
        </w:rPr>
        <w:t>Public testimony extensively addressed homelessness, with advocates arguing Portland's approach mirrors ineffective Trump administration policies [01:40:39]. Molly Hogan from Welcome Home Coalition cited a 67% increase in Multnomah County homelessness over two years, contrasting with San Francisco's 7% increase, attributed to different investment priorities [01:40:52]. Multiple speakers emphasized emergency rental assistance as critical eviction prevention, with 91% of research respondents identifying rent costs as the primary housing barrier [01:54:48]. Testimony highlighted the need for deeply affordable supportive housing for high-acuity individuals with behavioral health needs, who don't succeed in traditional shelters [02:00:00]. The various housing amendments directly address homelessness prevention through rental assistance and supportive housing preservation, representing potential policy shifts from shelter-focused to housing-focused interventions.</w:t>
      </w:r>
    </w:p>
    <w:p>
      <w:r>
        <w:rPr>
          <w:color w:val="404040"/>
          <w:sz w:val="20"/>
        </w:rPr>
      </w:r>
      <w:r>
        <w:rPr>
          <w:b/>
          <w:color w:val="404040"/>
          <w:sz w:val="20"/>
        </w:rPr>
        <w:t>Infrastructure &amp; Transportation</w:t>
      </w:r>
      <w:r>
        <w:rPr>
          <w:color w:val="404040"/>
          <w:sz w:val="20"/>
        </w:rPr>
      </w:r>
    </w:p>
    <w:p>
      <w:r>
        <w:rPr>
          <w:color w:val="404040"/>
          <w:sz w:val="20"/>
        </w:rPr>
        <w:t>The council approved $322,555 in transportation safety grants from the State Transportation Safety Office and Oregon Impact [00:30:45]. Public testimony during communications criticized the proposed Transportation Utility Fee, with speaker Jonathan Starr arguing it should correlate with road usage rather than utility bills [00:10:18]. He advocated for increased gas taxes or congestion pricing as more equitable alternatives that align costs with actual road usage [00:12:00]. Another speaker, Susan Clary, criticized the TUF for assessing residential units rather than vehicles that actually damage roads, noting her block has 19 vehicles across 13 units but would be assessed equally [00:21:46]. The testimony suggests ongoing controversy over transportation funding mechanisms, with implications for development impact fees and infrastructure cost allocation.</w:t>
      </w:r>
    </w:p>
    <w:p>
      <w:pPr>
        <w:pStyle w:val="Heading2"/>
      </w:pPr>
      <w:r>
        <w:rPr>
          <w:color w:val="185430"/>
        </w:rPr>
        <w:t>UPCOMING &amp; FOLLOW-UP</w:t>
      </w:r>
    </w:p>
    <w:p>
      <w:pPr>
        <w:pStyle w:val="ListBullet"/>
      </w:pPr>
      <w:r>
        <w:rPr>
          <w:color w:val="404040"/>
          <w:sz w:val="20"/>
        </w:rPr>
        <w:t>Item 8 (Spring Technical Adjustment Ordinance) scheduled for second reading and final vote next week with multiple amendments to be considered</w:t>
      </w:r>
    </w:p>
    <w:p>
      <w:pPr>
        <w:pStyle w:val="ListBullet"/>
      </w:pPr>
      <w:r>
        <w:rPr>
          <w:color w:val="404040"/>
          <w:sz w:val="20"/>
        </w:rPr>
        <w:t>Mayor's Proposed Budget release scheduled for April 20th, intended to follow TAO completion</w:t>
      </w:r>
    </w:p>
    <w:p>
      <w:pPr>
        <w:pStyle w:val="ListBullet"/>
      </w:pPr>
      <w:r>
        <w:rPr>
          <w:color w:val="404040"/>
          <w:sz w:val="20"/>
        </w:rPr>
        <w:t>Administrative policy regarding ICE facility land use violation expected to return to council in May timeframe [00:28:32]</w:t>
      </w:r>
    </w:p>
    <w:p>
      <w:pPr>
        <w:pStyle w:val="ListBullet"/>
      </w:pPr>
      <w:r>
        <w:rPr>
          <w:color w:val="404040"/>
          <w:sz w:val="20"/>
        </w:rPr>
        <w:t>New City Council website showing published legislative items by scheduled agenda dates to launch within the week [00:29:16]</w:t>
      </w:r>
    </w:p>
    <w:p>
      <w:pPr>
        <w:pStyle w:val="ListBullet"/>
      </w:pPr>
      <w:r>
        <w:rPr>
          <w:color w:val="404040"/>
          <w:sz w:val="20"/>
        </w:rPr>
        <w:t>Health Insurance Operating Fund repayment and reserve rebuilding plan to be included in FY 26-27 budget discussions</w:t>
      </w:r>
    </w:p>
    <w:p>
      <w:pPr>
        <w:pStyle w:val="ListBullet"/>
      </w:pPr>
      <w:r>
        <w:rPr>
          <w:color w:val="404040"/>
          <w:sz w:val="20"/>
        </w:rPr>
        <w:t>Multiple housing fund allocation amendments require formal consideration and votes at next meeting</w:t>
      </w:r>
    </w:p>
    <w:sectPr w:rsidR="00FC693F" w:rsidRPr="0006063C" w:rsidSect="00034616">
      <w:headerReference w:type="default" r:id="rId9"/>
      <w:footerReference w:type="default" r:id="rId10"/>
      <w:pgSz w:w="12240" w:h="15840"/>
      <w:pgMar w:top="144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04040"/>
        <w:sz w:val="14"/>
      </w:rPr>
      <w:t>Portland City Council Monitor  |  oakleaf.dev  |  Confidential —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85430"/>
        <w:sz w:val="28"/>
      </w:rPr>
      <w:t>Oakleaf reDevelopment</w:t>
    </w:r>
    <w:r>
      <w:rPr>
        <w:sz w:val="18"/>
      </w:rPr>
      <w:t xml:space="preserve">  |  </w:t>
    </w:r>
    <w:r>
      <w:rPr>
        <w:color w:val="404040"/>
        <w:sz w:val="18"/>
      </w:rPr>
      <w:t>Portland City Council Regular AM Session 04/08/26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