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Evidencia de Automatización de Pruebas - PODAT</w:t>
      </w:r>
    </w:p>
    <w:p>
      <w:r>
        <w:rPr>
          <w:b/>
        </w:rPr>
        <w:t xml:space="preserve">Objetivo: </w:t>
      </w:r>
      <w:r>
        <w:t>documentar la ejecución de pruebas automatizadas y el reporte de cobertura del sistema PODAT.</w:t>
      </w:r>
    </w:p>
    <w:p>
      <w:r>
        <w:rPr>
          <w:b/>
        </w:rPr>
        <w:t xml:space="preserve">Herramienta utilizada: </w:t>
      </w:r>
      <w:r>
        <w:t>Vitest con proveedor de cobertura V8 (@vitest/coverage-v8).</w:t>
      </w:r>
    </w:p>
    <w:p>
      <w:r>
        <w:rPr>
          <w:b/>
        </w:rPr>
        <w:t xml:space="preserve">Fecha de ejecución: </w:t>
      </w:r>
      <w:r>
        <w:t>27/04/2026.</w:t>
      </w:r>
    </w:p>
    <w:p>
      <w:pPr>
        <w:pStyle w:val="Heading2"/>
      </w:pPr>
      <w:r>
        <w:t>1. Comandos ejecutados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9DB9E8"/>
          </w:tcPr>
          <w:p>
            <w:r/>
            <w:r>
              <w:rPr>
                <w:rFonts w:ascii="Arial" w:hAnsi="Arial" w:eastAsia="Arial"/>
                <w:b/>
                <w:sz w:val="24"/>
              </w:rPr>
              <w:t>Comando</w:t>
            </w:r>
          </w:p>
        </w:tc>
        <w:tc>
          <w:tcPr>
            <w:tcW w:type="dxa" w:w="5112"/>
            <w:vAlign w:val="center"/>
            <w:shd w:fill="9DB9E8"/>
          </w:tcPr>
          <w:p>
            <w:r/>
            <w:r>
              <w:rPr>
                <w:rFonts w:ascii="Arial" w:hAnsi="Arial" w:eastAsia="Arial"/>
                <w:b/>
                <w:sz w:val="24"/>
              </w:rPr>
              <w:t>Propósito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Arial" w:hAnsi="Arial" w:eastAsia="Arial"/>
                <w:b w:val="0"/>
                <w:sz w:val="24"/>
              </w:rPr>
              <w:t>npm run test</w:t>
            </w:r>
          </w:p>
        </w:tc>
        <w:tc>
          <w:tcPr>
            <w:tcW w:type="dxa" w:w="5112"/>
          </w:tcPr>
          <w:p>
            <w:r/>
            <w:r>
              <w:rPr>
                <w:rFonts w:ascii="Arial" w:hAnsi="Arial" w:eastAsia="Arial"/>
                <w:b w:val="0"/>
                <w:sz w:val="24"/>
              </w:rPr>
              <w:t>Ejecutar la suite de pruebas automatizadas.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Arial" w:hAnsi="Arial" w:eastAsia="Arial"/>
                <w:b w:val="0"/>
                <w:sz w:val="24"/>
              </w:rPr>
              <w:t>npm run test:coverage</w:t>
            </w:r>
          </w:p>
        </w:tc>
        <w:tc>
          <w:tcPr>
            <w:tcW w:type="dxa" w:w="5112"/>
          </w:tcPr>
          <w:p>
            <w:r/>
            <w:r>
              <w:rPr>
                <w:rFonts w:ascii="Arial" w:hAnsi="Arial" w:eastAsia="Arial"/>
                <w:b w:val="0"/>
                <w:sz w:val="24"/>
              </w:rPr>
              <w:t>Ejecutar pruebas automatizadas y generar reporte de cobertura.</w:t>
            </w:r>
          </w:p>
        </w:tc>
      </w:tr>
    </w:tbl>
    <w:p>
      <w:pPr>
        <w:pStyle w:val="Heading2"/>
      </w:pPr>
      <w:r>
        <w:t>2. Resultado de ejecución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9DB9E8"/>
          </w:tcPr>
          <w:p>
            <w:r/>
            <w:r>
              <w:rPr>
                <w:rFonts w:ascii="Arial" w:hAnsi="Arial" w:eastAsia="Arial"/>
                <w:b/>
                <w:sz w:val="24"/>
              </w:rPr>
              <w:t>Indicador</w:t>
            </w:r>
          </w:p>
        </w:tc>
        <w:tc>
          <w:tcPr>
            <w:tcW w:type="dxa" w:w="5112"/>
            <w:vAlign w:val="center"/>
            <w:shd w:fill="9DB9E8"/>
          </w:tcPr>
          <w:p>
            <w:r/>
            <w:r>
              <w:rPr>
                <w:rFonts w:ascii="Arial" w:hAnsi="Arial" w:eastAsia="Arial"/>
                <w:b/>
                <w:sz w:val="24"/>
              </w:rPr>
              <w:t>Resultado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Arial" w:hAnsi="Arial" w:eastAsia="Arial"/>
                <w:b w:val="0"/>
                <w:sz w:val="24"/>
              </w:rPr>
              <w:t>Archivos de prueba ejecutados</w:t>
            </w:r>
          </w:p>
        </w:tc>
        <w:tc>
          <w:tcPr>
            <w:tcW w:type="dxa" w:w="5112"/>
          </w:tcPr>
          <w:p>
            <w:r/>
            <w:r>
              <w:rPr>
                <w:rFonts w:ascii="Arial" w:hAnsi="Arial" w:eastAsia="Arial"/>
                <w:b w:val="0"/>
                <w:sz w:val="24"/>
              </w:rPr>
              <w:t>6 passed (6)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Arial" w:hAnsi="Arial" w:eastAsia="Arial"/>
                <w:b w:val="0"/>
                <w:sz w:val="24"/>
              </w:rPr>
              <w:t>Pruebas ejecutadas</w:t>
            </w:r>
          </w:p>
        </w:tc>
        <w:tc>
          <w:tcPr>
            <w:tcW w:type="dxa" w:w="5112"/>
          </w:tcPr>
          <w:p>
            <w:r/>
            <w:r>
              <w:rPr>
                <w:rFonts w:ascii="Arial" w:hAnsi="Arial" w:eastAsia="Arial"/>
                <w:b w:val="0"/>
                <w:sz w:val="24"/>
              </w:rPr>
              <w:t>25 passed (25)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Arial" w:hAnsi="Arial" w:eastAsia="Arial"/>
                <w:b w:val="0"/>
                <w:sz w:val="24"/>
              </w:rPr>
              <w:t>Estado general</w:t>
            </w:r>
          </w:p>
        </w:tc>
        <w:tc>
          <w:tcPr>
            <w:tcW w:type="dxa" w:w="5112"/>
          </w:tcPr>
          <w:p>
            <w:r/>
            <w:r>
              <w:rPr>
                <w:rFonts w:ascii="Arial" w:hAnsi="Arial" w:eastAsia="Arial"/>
                <w:b w:val="0"/>
                <w:sz w:val="24"/>
              </w:rPr>
              <w:t>Aprobado</w:t>
            </w:r>
          </w:p>
        </w:tc>
      </w:tr>
    </w:tbl>
    <w:p>
      <w:pPr>
        <w:pStyle w:val="Heading2"/>
      </w:pPr>
      <w:r>
        <w:t>3. Cobertura obtenida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9DB9E8"/>
          </w:tcPr>
          <w:p>
            <w:r/>
            <w:r>
              <w:rPr>
                <w:rFonts w:ascii="Arial" w:hAnsi="Arial" w:eastAsia="Arial"/>
                <w:b/>
                <w:sz w:val="24"/>
              </w:rPr>
              <w:t>Métrica</w:t>
            </w:r>
          </w:p>
        </w:tc>
        <w:tc>
          <w:tcPr>
            <w:tcW w:type="dxa" w:w="5112"/>
            <w:vAlign w:val="center"/>
            <w:shd w:fill="9DB9E8"/>
          </w:tcPr>
          <w:p>
            <w:r/>
            <w:r>
              <w:rPr>
                <w:rFonts w:ascii="Arial" w:hAnsi="Arial" w:eastAsia="Arial"/>
                <w:b/>
                <w:sz w:val="24"/>
              </w:rPr>
              <w:t>Cobertura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Arial" w:hAnsi="Arial" w:eastAsia="Arial"/>
                <w:b w:val="0"/>
                <w:sz w:val="24"/>
              </w:rPr>
              <w:t>Statements</w:t>
            </w:r>
          </w:p>
        </w:tc>
        <w:tc>
          <w:tcPr>
            <w:tcW w:type="dxa" w:w="5112"/>
          </w:tcPr>
          <w:p>
            <w:r/>
            <w:r>
              <w:rPr>
                <w:rFonts w:ascii="Arial" w:hAnsi="Arial" w:eastAsia="Arial"/>
                <w:b w:val="0"/>
                <w:sz w:val="24"/>
              </w:rPr>
              <w:t>88.95%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Arial" w:hAnsi="Arial" w:eastAsia="Arial"/>
                <w:b w:val="0"/>
                <w:sz w:val="24"/>
              </w:rPr>
              <w:t>Branches</w:t>
            </w:r>
          </w:p>
        </w:tc>
        <w:tc>
          <w:tcPr>
            <w:tcW w:type="dxa" w:w="5112"/>
          </w:tcPr>
          <w:p>
            <w:r/>
            <w:r>
              <w:rPr>
                <w:rFonts w:ascii="Arial" w:hAnsi="Arial" w:eastAsia="Arial"/>
                <w:b w:val="0"/>
                <w:sz w:val="24"/>
              </w:rPr>
              <w:t>75.60%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Arial" w:hAnsi="Arial" w:eastAsia="Arial"/>
                <w:b w:val="0"/>
                <w:sz w:val="24"/>
              </w:rPr>
              <w:t>Functions</w:t>
            </w:r>
          </w:p>
        </w:tc>
        <w:tc>
          <w:tcPr>
            <w:tcW w:type="dxa" w:w="5112"/>
          </w:tcPr>
          <w:p>
            <w:r/>
            <w:r>
              <w:rPr>
                <w:rFonts w:ascii="Arial" w:hAnsi="Arial" w:eastAsia="Arial"/>
                <w:b w:val="0"/>
                <w:sz w:val="24"/>
              </w:rPr>
              <w:t>81.13%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Arial" w:hAnsi="Arial" w:eastAsia="Arial"/>
                <w:b w:val="0"/>
                <w:sz w:val="24"/>
              </w:rPr>
              <w:t>Lines</w:t>
            </w:r>
          </w:p>
        </w:tc>
        <w:tc>
          <w:tcPr>
            <w:tcW w:type="dxa" w:w="5112"/>
          </w:tcPr>
          <w:p>
            <w:r/>
            <w:r>
              <w:rPr>
                <w:rFonts w:ascii="Arial" w:hAnsi="Arial" w:eastAsia="Arial"/>
                <w:b w:val="0"/>
                <w:sz w:val="24"/>
              </w:rPr>
              <w:t>91.41%</w:t>
            </w:r>
          </w:p>
        </w:tc>
      </w:tr>
    </w:tbl>
    <w:p>
      <w:r>
        <w:rPr>
          <w:b/>
        </w:rPr>
        <w:t xml:space="preserve">Conclusión: </w:t>
      </w:r>
      <w:r>
        <w:t>la cobertura de líneas alcanzó 91.41%, superando el 80% solicitado para el alcance automatizado definido.</w:t>
      </w:r>
    </w:p>
    <w:p>
      <w:pPr>
        <w:pStyle w:val="Heading2"/>
      </w:pPr>
      <w:r>
        <w:t>4. Alcance automatizado</w:t>
      </w:r>
    </w:p>
    <w:p>
      <w:pPr>
        <w:pStyle w:val="ListBullet"/>
      </w:pPr>
      <w:r>
        <w:t>Reglas de negocio de notas y alertas académicas.</w:t>
      </w:r>
    </w:p>
    <w:p>
      <w:pPr>
        <w:pStyle w:val="ListBullet"/>
      </w:pPr>
      <w:r>
        <w:t>Reglas de asistencia y cálculo de condición académica.</w:t>
      </w:r>
    </w:p>
    <w:p>
      <w:pPr>
        <w:pStyle w:val="ListBullet"/>
      </w:pPr>
      <w:r>
        <w:t>Importación y parseo de alumnos desde Excel.</w:t>
      </w:r>
    </w:p>
    <w:p>
      <w:pPr>
        <w:pStyle w:val="ListBullet"/>
      </w:pPr>
      <w:r>
        <w:t>Importación y parseo de estadísticas desde Excel.</w:t>
      </w:r>
    </w:p>
    <w:p>
      <w:pPr>
        <w:pStyle w:val="ListBullet"/>
      </w:pPr>
      <w:r>
        <w:t>Componente administrativo de resultados de importación.</w:t>
      </w:r>
    </w:p>
    <w:p>
      <w:pPr>
        <w:pStyle w:val="Heading2"/>
      </w:pPr>
      <w:r>
        <w:t>5. Ubicación de evidencia generada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9DB9E8"/>
          </w:tcPr>
          <w:p>
            <w:r/>
            <w:r>
              <w:rPr>
                <w:rFonts w:ascii="Arial" w:hAnsi="Arial" w:eastAsia="Arial"/>
                <w:b/>
                <w:sz w:val="24"/>
              </w:rPr>
              <w:t>Evidencia</w:t>
            </w:r>
          </w:p>
        </w:tc>
        <w:tc>
          <w:tcPr>
            <w:tcW w:type="dxa" w:w="5112"/>
            <w:vAlign w:val="center"/>
            <w:shd w:fill="9DB9E8"/>
          </w:tcPr>
          <w:p>
            <w:r/>
            <w:r>
              <w:rPr>
                <w:rFonts w:ascii="Arial" w:hAnsi="Arial" w:eastAsia="Arial"/>
                <w:b/>
                <w:sz w:val="24"/>
              </w:rPr>
              <w:t>Ubicación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Arial" w:hAnsi="Arial" w:eastAsia="Arial"/>
                <w:b w:val="0"/>
                <w:sz w:val="24"/>
              </w:rPr>
              <w:t>Reporte HTML de cobertura</w:t>
            </w:r>
          </w:p>
        </w:tc>
        <w:tc>
          <w:tcPr>
            <w:tcW w:type="dxa" w:w="5112"/>
          </w:tcPr>
          <w:p>
            <w:r/>
            <w:r>
              <w:rPr>
                <w:rFonts w:ascii="Arial" w:hAnsi="Arial" w:eastAsia="Arial"/>
                <w:b w:val="0"/>
                <w:sz w:val="24"/>
              </w:rPr>
              <w:t>coverage\index.html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Arial" w:hAnsi="Arial" w:eastAsia="Arial"/>
                <w:b w:val="0"/>
                <w:sz w:val="24"/>
              </w:rPr>
              <w:t>Configuración de cobertura</w:t>
            </w:r>
          </w:p>
        </w:tc>
        <w:tc>
          <w:tcPr>
            <w:tcW w:type="dxa" w:w="5112"/>
          </w:tcPr>
          <w:p>
            <w:r/>
            <w:r>
              <w:rPr>
                <w:rFonts w:ascii="Arial" w:hAnsi="Arial" w:eastAsia="Arial"/>
                <w:b w:val="0"/>
                <w:sz w:val="24"/>
              </w:rPr>
              <w:t>vitest.config.ts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Arial" w:hAnsi="Arial" w:eastAsia="Arial"/>
                <w:b w:val="0"/>
                <w:sz w:val="24"/>
              </w:rPr>
              <w:t>Script de cobertura</w:t>
            </w:r>
          </w:p>
        </w:tc>
        <w:tc>
          <w:tcPr>
            <w:tcW w:type="dxa" w:w="5112"/>
          </w:tcPr>
          <w:p>
            <w:r/>
            <w:r>
              <w:rPr>
                <w:rFonts w:ascii="Arial" w:hAnsi="Arial" w:eastAsia="Arial"/>
                <w:b w:val="0"/>
                <w:sz w:val="24"/>
              </w:rPr>
              <w:t>package.json -&gt; npm run test:coverage</w:t>
            </w:r>
          </w:p>
        </w:tc>
      </w:tr>
    </w:tbl>
    <w:p>
      <w:pPr>
        <w:pStyle w:val="Heading2"/>
      </w:pPr>
      <w:r>
        <w:t>6. Guía breve para video de evidencia</w:t>
      </w:r>
    </w:p>
    <w:p>
      <w:pPr>
        <w:pStyle w:val="ListNumber"/>
      </w:pPr>
      <w:r>
        <w:t>Abrir una terminal en la carpeta del proyecto podat-app.</w:t>
      </w:r>
    </w:p>
    <w:p>
      <w:pPr>
        <w:pStyle w:val="ListNumber"/>
      </w:pPr>
      <w:r>
        <w:t>Ejecutar npm run test y mostrar que las pruebas finalizan con 25 passed.</w:t>
      </w:r>
    </w:p>
    <w:p>
      <w:pPr>
        <w:pStyle w:val="ListNumber"/>
      </w:pPr>
      <w:r>
        <w:t>Ejecutar npm run test:coverage y mostrar el resumen de cobertura.</w:t>
      </w:r>
    </w:p>
    <w:p>
      <w:pPr>
        <w:pStyle w:val="ListNumber"/>
      </w:pPr>
      <w:r>
        <w:t>Abrir coverage/index.html en el navegador y mostrar el reporte visual.</w:t>
      </w:r>
    </w:p>
    <w:p>
      <w:pPr>
        <w:pStyle w:val="ListNumber"/>
      </w:pPr>
      <w:r>
        <w:t>Mencionar que la cobertura de líneas es 91.41% y supera el 80% solicitado.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