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Risk Influence Map</w:t>
      </w:r>
    </w:p>
    <w:p>
      <w:pPr>
        <w:pStyle w:val="Emphasis"/>
      </w:pPr>
      <w:r>
        <w:t xml:space="preserve">Système de cartographie dynamique des risques pour programme SMR</w:t>
      </w:r>
    </w:p>
    <w:p>
      <w:pPr>
        <w:spacing w:before="960"/>
      </w:pPr>
      <w:r>
        <w:t xml:space="preserve"/>
      </w:r>
    </w:p>
    <w:p>
      <w:pPr>
        <w:spacing w:before="240"/>
        <w:jc w:val="center"/>
      </w:pPr>
      <w:r>
        <w:rPr>
          <w:b/>
          <w:bCs/>
          <w:sz w:val="28"/>
          <w:szCs w:val="28"/>
        </w:rPr>
        <w:t xml:space="preserve">Document de cadrage stratégique</w:t>
      </w:r>
    </w:p>
    <w:p>
      <w:pPr>
        <w:spacing w:before="960"/>
      </w:pPr>
      <w:r>
        <w:t xml:space="preserve"/>
      </w:r>
    </w:p>
    <w:p>
      <w:pPr>
        <w:jc w:val="center"/>
      </w:pPr>
      <w:r>
        <w:rPr>
          <w:sz w:val="22"/>
          <w:szCs w:val="22"/>
        </w:rPr>
        <w:t xml:space="preserve">28 décembre 2025</w:t>
      </w:r>
    </w:p>
    <w:p>
      <w:pPr>
        <w:spacing w:before="240"/>
      </w:pPr>
      <w:r>
        <w:t xml:space="preserve"/>
      </w:r>
    </w:p>
    <w:p>
      <w:pPr>
        <w:jc w:val="center"/>
      </w:pPr>
      <w:r>
        <w:rPr>
          <w:i/>
          <w:iCs/>
          <w:color w:val="666666"/>
          <w:sz w:val="22"/>
          <w:szCs w:val="22"/>
        </w:rPr>
        <w:t xml:space="preserve">Version 1.0 - Phase 1</w:t>
      </w:r>
    </w:p>
    <w:p>
      <w:r>
        <w:br w:type="page"/>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Contexte et enjeux du programme</w:t>
      </w:r>
    </w:p>
    <w:p>
      <w:pPr>
        <w:pStyle w:val="Heading2"/>
      </w:pPr>
      <w:r>
        <w:t xml:space="preserve">1.1 Vision du programme</w:t>
      </w:r>
    </w:p>
    <w:p>
      <w:r>
        <w:t xml:space="preserve">Le programme vise à développer un petit réacteur nucléaire modulaire (SMR) de nouvelle génération, entièrement intégré dans son écosystème depuis la conception jusqu'au démantèlement. Cette approche révolutionnaire repose sur trois piliers fondamentaux :</w:t>
      </w:r>
    </w:p>
    <w:p>
      <w:pPr>
        <w:spacing w:before="120"/>
      </w:pPr>
      <w:r>
        <w:t xml:space="preserve"/>
      </w:r>
    </w:p>
    <w:p>
      <w:pPr>
        <w:pStyle w:val="ListParagraph"/>
        <w:numPr>
          <w:ilvl w:val="0"/>
          <w:numId w:val="2"/>
        </w:numPr>
      </w:pPr>
      <w:r>
        <w:rPr>
          <w:b/>
          <w:bCs/>
        </w:rPr>
        <w:t xml:space="preserve">Excellence technique : </w:t>
      </w:r>
      <w:r>
        <w:t xml:space="preserve">Un produit disposant d'une avance technologique significative et d'un niveau de performance optimal</w:t>
      </w:r>
    </w:p>
    <w:p>
      <w:pPr>
        <w:pStyle w:val="ListParagraph"/>
        <w:numPr>
          <w:ilvl w:val="0"/>
          <w:numId w:val="2"/>
        </w:numPr>
      </w:pPr>
      <w:r>
        <w:rPr>
          <w:b/>
          <w:bCs/>
        </w:rPr>
        <w:t xml:space="preserve">Leadership de marché : </w:t>
      </w:r>
      <w:r>
        <w:t xml:space="preserve">Être le premier sur le marché émergent avec une durée d'avance suffisante pour garantir la profitabilité</w:t>
      </w:r>
    </w:p>
    <w:p>
      <w:pPr>
        <w:pStyle w:val="ListParagraph"/>
        <w:numPr>
          <w:ilvl w:val="0"/>
          <w:numId w:val="2"/>
        </w:numPr>
      </w:pPr>
      <w:r>
        <w:rPr>
          <w:b/>
          <w:bCs/>
        </w:rPr>
        <w:t xml:space="preserve">Agilité industrielle : </w:t>
      </w:r>
      <w:r>
        <w:t xml:space="preserve">Capacité à produire en quantité avec le bon ramp-up industriel sur une période courte</w:t>
      </w:r>
    </w:p>
    <w:p>
      <w:pPr>
        <w:pStyle w:val="Heading2"/>
        <w:spacing w:before="240"/>
      </w:pPr>
      <w:r>
        <w:t xml:space="preserve">1.2 Objectifs stratégiques</w:t>
      </w:r>
    </w:p>
    <w:p>
      <w:r>
        <w:t xml:space="preserve">Le programme se structure autour de trois objectifs majeurs :</w:t>
      </w:r>
    </w:p>
    <w:p>
      <w:pPr>
        <w:spacing w:before="120"/>
      </w:pPr>
      <w:r>
        <w:t xml:space="preserve"/>
      </w:r>
    </w:p>
    <w:p>
      <w:pPr>
        <w:pStyle w:val="ListParagraph"/>
        <w:numPr>
          <w:ilvl w:val="0"/>
          <w:numId w:val="3"/>
        </w:numPr>
      </w:pPr>
      <w:r>
        <w:rPr>
          <w:b/>
          <w:bCs/>
        </w:rPr>
        <w:t xml:space="preserve">Profitabilité : </w:t>
      </w:r>
      <w:r>
        <w:t xml:space="preserve">Atteindre le niveau de profitabilité fixé dans les délais impartis</w:t>
      </w:r>
    </w:p>
    <w:p>
      <w:pPr>
        <w:pStyle w:val="ListParagraph"/>
        <w:numPr>
          <w:ilvl w:val="0"/>
          <w:numId w:val="3"/>
        </w:numPr>
      </w:pPr>
      <w:r>
        <w:rPr>
          <w:b/>
          <w:bCs/>
        </w:rPr>
        <w:t xml:space="preserve">Safety : </w:t>
      </w:r>
      <w:r>
        <w:t xml:space="preserve">Maintenir un niveau de sûreté optimal conforme aux standards les plus exigeants</w:t>
      </w:r>
    </w:p>
    <w:p>
      <w:pPr>
        <w:pStyle w:val="ListParagraph"/>
        <w:numPr>
          <w:ilvl w:val="0"/>
          <w:numId w:val="3"/>
        </w:numPr>
      </w:pPr>
      <w:r>
        <w:rPr>
          <w:b/>
          <w:bCs/>
        </w:rPr>
        <w:t xml:space="preserve">Sustainability : </w:t>
      </w:r>
      <w:r>
        <w:t xml:space="preserve">Respecter rigoureusement les contraintes réglementaires en matière de durabilité</w:t>
      </w:r>
    </w:p>
    <w:p>
      <w:pPr>
        <w:pStyle w:val="Heading2"/>
        <w:spacing w:before="240"/>
      </w:pPr>
      <w:r>
        <w:t xml:space="preserve">1.3 Architecture système intégrée</w:t>
      </w:r>
    </w:p>
    <w:p>
      <w:r>
        <w:t xml:space="preserve">L'innovation majeure du programme réside dans son approche holistique :</w:t>
      </w:r>
    </w:p>
    <w:p>
      <w:pPr>
        <w:spacing w:before="120"/>
      </w:pPr>
      <w:r>
        <w:t xml:space="preserve"/>
      </w:r>
    </w:p>
    <w:p>
      <w:pPr>
        <w:pStyle w:val="ListParagraph"/>
        <w:numPr>
          <w:ilvl w:val="0"/>
          <w:numId w:val="2"/>
        </w:numPr>
      </w:pPr>
      <w:r>
        <w:rPr>
          <w:b/>
          <w:bCs/>
        </w:rPr>
        <w:t xml:space="preserve">Backbone digital : </w:t>
      </w:r>
      <w:r>
        <w:t xml:space="preserve">Intégration de l'ERP, du PLM et de tous les outils digitaux nécessaires</w:t>
      </w:r>
    </w:p>
    <w:p>
      <w:pPr>
        <w:pStyle w:val="ListParagraph"/>
        <w:numPr>
          <w:ilvl w:val="0"/>
          <w:numId w:val="2"/>
        </w:numPr>
      </w:pPr>
      <w:r>
        <w:rPr>
          <w:b/>
          <w:bCs/>
        </w:rPr>
        <w:t xml:space="preserve">Exploitation data-driven : </w:t>
      </w:r>
      <w:r>
        <w:t xml:space="preserve">Production et exploitation de données sur l'ensemble de la chaîne de valeur pour l'optimisation continue</w:t>
      </w:r>
    </w:p>
    <w:p>
      <w:pPr>
        <w:pStyle w:val="ListParagraph"/>
        <w:numPr>
          <w:ilvl w:val="0"/>
          <w:numId w:val="2"/>
        </w:numPr>
      </w:pPr>
      <w:r>
        <w:rPr>
          <w:b/>
          <w:bCs/>
        </w:rPr>
        <w:t xml:space="preserve">Maintenance prédictive : </w:t>
      </w:r>
      <w:r>
        <w:t xml:space="preserve">Capacité d'intervention rapide partout dans le monde avec un uptime garanti très élevé</w:t>
      </w:r>
    </w:p>
    <w:p>
      <w:pPr>
        <w:pStyle w:val="ListParagraph"/>
        <w:numPr>
          <w:ilvl w:val="0"/>
          <w:numId w:val="2"/>
        </w:numPr>
      </w:pPr>
      <w:r>
        <w:rPr>
          <w:b/>
          <w:bCs/>
        </w:rPr>
        <w:t xml:space="preserve">Modulation intelligente : </w:t>
      </w:r>
      <w:r>
        <w:t xml:space="preserve">Optimisation de la production d'électricité et de chaleur en temps réel</w:t>
      </w:r>
    </w:p>
    <w:p>
      <w:pPr>
        <w:pStyle w:val="Heading2"/>
        <w:spacing w:before="240"/>
      </w:pPr>
      <w:r>
        <w:t xml:space="preserve">1.4 Horizon temporel</w:t>
      </w:r>
    </w:p>
    <w:p>
      <w:r>
        <w:t xml:space="preserve">Le programme suit un calendrier structurant :</w:t>
      </w:r>
    </w:p>
    <w:p>
      <w:pPr>
        <w:spacing w:before="120"/>
      </w:pPr>
      <w:r>
        <w:t xml:space="preserve"/>
      </w:r>
    </w:p>
    <w:p>
      <w:pPr>
        <w:pStyle w:val="ListParagraph"/>
        <w:numPr>
          <w:ilvl w:val="0"/>
          <w:numId w:val="2"/>
        </w:numPr>
      </w:pPr>
      <w:r>
        <w:rPr>
          <w:b/>
          <w:bCs/>
        </w:rPr>
        <w:t xml:space="preserve">Phase de pré-programme : </w:t>
      </w:r>
      <w:r>
        <w:t xml:space="preserve">2 ans restants (engagé depuis 2 ans)</w:t>
      </w:r>
    </w:p>
    <w:p>
      <w:pPr>
        <w:pStyle w:val="ListParagraph"/>
        <w:numPr>
          <w:ilvl w:val="0"/>
          <w:numId w:val="2"/>
        </w:numPr>
      </w:pPr>
      <w:r>
        <w:rPr>
          <w:b/>
          <w:bCs/>
        </w:rPr>
        <w:t xml:space="preserve">Décisions structurantes produit : </w:t>
      </w:r>
      <w:r>
        <w:t xml:space="preserve">Q3 2026</w:t>
      </w:r>
    </w:p>
    <w:p>
      <w:pPr>
        <w:pStyle w:val="ListParagraph"/>
        <w:numPr>
          <w:ilvl w:val="0"/>
          <w:numId w:val="2"/>
        </w:numPr>
      </w:pPr>
      <w:r>
        <w:rPr>
          <w:b/>
          <w:bCs/>
        </w:rPr>
        <w:t xml:space="preserve">Choix architecture backbone digital : </w:t>
      </w:r>
      <w:r>
        <w:t xml:space="preserve">Q3 2026</w:t>
      </w:r>
    </w:p>
    <w:p>
      <w:pPr>
        <w:pStyle w:val="ListParagraph"/>
        <w:numPr>
          <w:ilvl w:val="0"/>
          <w:numId w:val="2"/>
        </w:numPr>
      </w:pPr>
      <w:r>
        <w:rPr>
          <w:b/>
          <w:bCs/>
        </w:rPr>
        <w:t xml:space="preserve">Décisions industrialisation : </w:t>
      </w:r>
      <w:r>
        <w:t xml:space="preserve">À partir de 2027</w:t>
      </w:r>
    </w:p>
    <w:p>
      <w:pPr>
        <w:pStyle w:val="ListParagraph"/>
        <w:numPr>
          <w:ilvl w:val="0"/>
          <w:numId w:val="2"/>
        </w:numPr>
      </w:pPr>
      <w:r>
        <w:rPr>
          <w:b/>
          <w:bCs/>
        </w:rPr>
        <w:t xml:space="preserve">Production série : </w:t>
      </w:r>
      <w:r>
        <w:t xml:space="preserve">2030</w:t>
      </w:r>
    </w:p>
    <w:p>
      <w:pPr>
        <w:pStyle w:val="ListParagraph"/>
        <w:numPr>
          <w:ilvl w:val="0"/>
          <w:numId w:val="2"/>
        </w:numPr>
      </w:pPr>
      <w:r>
        <w:rPr>
          <w:b/>
          <w:bCs/>
        </w:rPr>
        <w:t xml:space="preserve">Montée en cadence : </w:t>
      </w:r>
      <w:r>
        <w:t xml:space="preserve">2 ans pour atteindre le rate nominal</w:t>
      </w:r>
    </w:p>
    <w:p>
      <w:r>
        <w:br w:type="page"/>
      </w:r>
    </w:p>
    <w:p>
      <w:pPr>
        <w:pStyle w:val="Heading1"/>
      </w:pPr>
      <w:r>
        <w:t xml:space="preserve">2. Démarche proposée : Risk Influence Map</w:t>
      </w:r>
    </w:p>
    <w:p>
      <w:pPr>
        <w:pStyle w:val="Heading2"/>
      </w:pPr>
      <w:r>
        <w:t xml:space="preserve">2.1 Limites de l'approche actuelle</w:t>
      </w:r>
    </w:p>
    <w:p>
      <w:r>
        <w:t xml:space="preserve">La méthodologie actuelle de gestion des risques présente plusieurs limitations :</w:t>
      </w:r>
    </w:p>
    <w:p>
      <w:pPr>
        <w:spacing w:before="120"/>
      </w:pPr>
      <w:r>
        <w:t xml:space="preserve"/>
      </w:r>
    </w:p>
    <w:p>
      <w:pPr>
        <w:pStyle w:val="ListParagraph"/>
        <w:numPr>
          <w:ilvl w:val="0"/>
          <w:numId w:val="2"/>
        </w:numPr>
      </w:pPr>
      <w:r>
        <w:rPr>
          <w:b/>
          <w:bCs/>
        </w:rPr>
        <w:t xml:space="preserve">Heatmap 4x4 simpliste : </w:t>
      </w:r>
      <w:r>
        <w:t xml:space="preserve">Ne capture pas la complexité des interdépendances</w:t>
      </w:r>
    </w:p>
    <w:p>
      <w:pPr>
        <w:pStyle w:val="ListParagraph"/>
        <w:numPr>
          <w:ilvl w:val="0"/>
          <w:numId w:val="2"/>
        </w:numPr>
      </w:pPr>
      <w:r>
        <w:rPr>
          <w:b/>
          <w:bCs/>
        </w:rPr>
        <w:t xml:space="preserve">Vision statique : </w:t>
      </w:r>
      <w:r>
        <w:t xml:space="preserve">Pas de modélisation des effets de cascade et d'amplification</w:t>
      </w:r>
    </w:p>
    <w:p>
      <w:pPr>
        <w:pStyle w:val="ListParagraph"/>
        <w:numPr>
          <w:ilvl w:val="0"/>
          <w:numId w:val="2"/>
        </w:numPr>
      </w:pPr>
      <w:r>
        <w:rPr>
          <w:b/>
          <w:bCs/>
        </w:rPr>
        <w:t xml:space="preserve">Absence de lien cause-effet : </w:t>
      </w:r>
      <w:r>
        <w:t xml:space="preserve">Difficulté à remonter aux sources des risques stratégiques</w:t>
      </w:r>
    </w:p>
    <w:p>
      <w:pPr>
        <w:pStyle w:val="ListParagraph"/>
        <w:numPr>
          <w:ilvl w:val="0"/>
          <w:numId w:val="2"/>
        </w:numPr>
      </w:pPr>
      <w:r>
        <w:rPr>
          <w:b/>
          <w:bCs/>
        </w:rPr>
        <w:t xml:space="preserve">Pas de gestion des risques contingents : </w:t>
      </w:r>
      <w:r>
        <w:t xml:space="preserve">Les risques futurs dépendants de décisions ne sont pas tracés</w:t>
      </w:r>
    </w:p>
    <w:p>
      <w:pPr>
        <w:pStyle w:val="Heading2"/>
        <w:spacing w:before="240"/>
      </w:pPr>
      <w:r>
        <w:t xml:space="preserve">2.2 Concept de la Risk Influence Map</w:t>
      </w:r>
    </w:p>
    <w:p>
      <w:r>
        <w:t xml:space="preserve">La Risk Influence Map (RIM) propose une approche révolutionnaire basée sur la théorie des graphes et la modélisation des influences. Elle se distingue par :</w:t>
      </w:r>
    </w:p>
    <w:p>
      <w:pPr>
        <w:spacing w:before="120"/>
      </w:pPr>
      <w:r>
        <w:t xml:space="preserve"/>
      </w:r>
    </w:p>
    <w:p>
      <w:pPr>
        <w:pStyle w:val="ListParagraph"/>
        <w:numPr>
          <w:ilvl w:val="0"/>
          <w:numId w:val="2"/>
        </w:numPr>
      </w:pPr>
      <w:r>
        <w:rPr>
          <w:b/>
          <w:bCs/>
        </w:rPr>
        <w:t xml:space="preserve">Architecture à deux niveaux : </w:t>
      </w:r>
      <w:r>
        <w:t xml:space="preserve">Risques stratégiques (orientés conséquences) et risques opérationnels (orientés causes)</w:t>
      </w:r>
    </w:p>
    <w:p>
      <w:pPr>
        <w:pStyle w:val="ListParagraph"/>
        <w:numPr>
          <w:ilvl w:val="0"/>
          <w:numId w:val="2"/>
        </w:numPr>
      </w:pPr>
      <w:r>
        <w:rPr>
          <w:b/>
          <w:bCs/>
        </w:rPr>
        <w:t xml:space="preserve">Trois types de liens d'influence : </w:t>
      </w:r>
      <w:r>
        <w:t xml:space="preserve">Niveau 1 (Op→Strat), Niveau 2 (Strat→Strat), Niveau 3 (Op→Op)</w:t>
      </w:r>
    </w:p>
    <w:p>
      <w:pPr>
        <w:pStyle w:val="ListParagraph"/>
        <w:numPr>
          <w:ilvl w:val="0"/>
          <w:numId w:val="2"/>
        </w:numPr>
      </w:pPr>
      <w:r>
        <w:rPr>
          <w:b/>
          <w:bCs/>
        </w:rPr>
        <w:t xml:space="preserve">Gestion des risques contingents : </w:t>
      </w:r>
      <w:r>
        <w:t xml:space="preserve">Modélisation des risques futurs liés aux choix structurants</w:t>
      </w:r>
    </w:p>
    <w:p>
      <w:pPr>
        <w:pStyle w:val="ListParagraph"/>
        <w:numPr>
          <w:ilvl w:val="0"/>
          <w:numId w:val="2"/>
        </w:numPr>
      </w:pPr>
      <w:r>
        <w:rPr>
          <w:b/>
          <w:bCs/>
        </w:rPr>
        <w:t xml:space="preserve">Visualisation dynamique : </w:t>
      </w:r>
      <w:r>
        <w:t xml:space="preserve">Graphe interactif permettant l'analyse de scénarios</w:t>
      </w:r>
    </w:p>
    <w:p>
      <w:pPr>
        <w:pStyle w:val="Heading2"/>
        <w:spacing w:before="240"/>
      </w:pPr>
      <w:r>
        <w:t xml:space="preserve">2.3 Avantages de l'approche</w:t>
      </w:r>
    </w:p>
    <w:p>
      <w:r>
        <w:t xml:space="preserve">Cette approche apporte des bénéfices tangibles :</w:t>
      </w:r>
    </w:p>
    <w:p>
      <w:pPr>
        <w:spacing w:before="120"/>
      </w:pPr>
      <w:r>
        <w:t xml:space="preserve"/>
      </w:r>
    </w:p>
    <w:p>
      <w:pPr>
        <w:pStyle w:val="ListParagraph"/>
        <w:numPr>
          <w:ilvl w:val="0"/>
          <w:numId w:val="2"/>
        </w:numPr>
      </w:pPr>
      <w:r>
        <w:rPr>
          <w:b/>
          <w:bCs/>
        </w:rPr>
        <w:t xml:space="preserve">Pour les dirigeants : </w:t>
      </w:r>
      <w:r>
        <w:t xml:space="preserve">Vision claire des risques stratégiques orientés business (impact sur les objectifs)</w:t>
      </w:r>
    </w:p>
    <w:p>
      <w:pPr>
        <w:pStyle w:val="ListParagraph"/>
        <w:numPr>
          <w:ilvl w:val="0"/>
          <w:numId w:val="2"/>
        </w:numPr>
      </w:pPr>
      <w:r>
        <w:rPr>
          <w:b/>
          <w:bCs/>
        </w:rPr>
        <w:t xml:space="preserve">Pour les opérationnels : </w:t>
      </w:r>
      <w:r>
        <w:t xml:space="preserve">Traçabilité des causes et capacité à agir en prévention</w:t>
      </w:r>
    </w:p>
    <w:p>
      <w:pPr>
        <w:pStyle w:val="ListParagraph"/>
        <w:numPr>
          <w:ilvl w:val="0"/>
          <w:numId w:val="2"/>
        </w:numPr>
      </w:pPr>
      <w:r>
        <w:rPr>
          <w:b/>
          <w:bCs/>
        </w:rPr>
        <w:t xml:space="preserve">Pour les décideurs : </w:t>
      </w:r>
      <w:r>
        <w:t xml:space="preserve">Simulation de l'impact des choix structurants sur l'exposition globale</w:t>
      </w:r>
    </w:p>
    <w:p>
      <w:pPr>
        <w:pStyle w:val="ListParagraph"/>
        <w:numPr>
          <w:ilvl w:val="0"/>
          <w:numId w:val="2"/>
        </w:numPr>
      </w:pPr>
      <w:r>
        <w:rPr>
          <w:b/>
          <w:bCs/>
        </w:rPr>
        <w:t xml:space="preserve">Pour la gouvernance : </w:t>
      </w:r>
      <w:r>
        <w:t xml:space="preserve">Double lecture permettant l'alignement exec-ops</w:t>
      </w:r>
    </w:p>
    <w:p>
      <w:r>
        <w:br w:type="page"/>
      </w:r>
    </w:p>
    <w:p>
      <w:pPr>
        <w:pStyle w:val="Heading1"/>
      </w:pPr>
      <w:r>
        <w:t xml:space="preserve">3. Architecture de la solution</w:t>
      </w:r>
    </w:p>
    <w:p>
      <w:pPr>
        <w:pStyle w:val="Heading2"/>
      </w:pPr>
      <w:r>
        <w:t xml:space="preserve">3.1 Modèle de données</w:t>
      </w:r>
    </w:p>
    <w:p>
      <w:r>
        <w:t xml:space="preserve">L'architecture repose sur un graphe Neo4j avec deux types de nœuds principaux :</w:t>
      </w:r>
    </w:p>
    <w:p>
      <w:pPr>
        <w:pStyle w:val="Heading3"/>
        <w:spacing w:before="240"/>
      </w:pPr>
      <w:r>
        <w:t xml:space="preserve">Nœud Risk (Risque)</w:t>
      </w:r>
    </w:p>
    <w:p>
      <w:r>
        <w:t xml:space="preserve">Propriétés essentielles :</w:t>
      </w:r>
    </w:p>
    <w:p>
      <w:pPr>
        <w:spacing w:before="120"/>
      </w:pPr>
      <w:r>
        <w:t xml:space="preserve"/>
      </w:r>
    </w:p>
    <w:p>
      <w:pPr>
        <w:pStyle w:val="ListParagraph"/>
        <w:numPr>
          <w:ilvl w:val="0"/>
          <w:numId w:val="2"/>
        </w:numPr>
      </w:pPr>
      <w:r>
        <w:rPr>
          <w:b/>
          <w:bCs/>
        </w:rPr>
        <w:t xml:space="preserve">Identification : </w:t>
      </w:r>
      <w:r>
        <w:t xml:space="preserve">id, name, description</w:t>
      </w:r>
    </w:p>
    <w:p>
      <w:pPr>
        <w:pStyle w:val="ListParagraph"/>
        <w:numPr>
          <w:ilvl w:val="0"/>
          <w:numId w:val="2"/>
        </w:numPr>
      </w:pPr>
      <w:r>
        <w:rPr>
          <w:b/>
          <w:bCs/>
        </w:rPr>
        <w:t xml:space="preserve">Classification : </w:t>
      </w:r>
      <w:r>
        <w:t xml:space="preserve">level (Strategic/Operational), categories (Programme, Produit, Industriel, Supply Chain - multi-valeurs)</w:t>
      </w:r>
    </w:p>
    <w:p>
      <w:pPr>
        <w:pStyle w:val="ListParagraph"/>
        <w:numPr>
          <w:ilvl w:val="0"/>
          <w:numId w:val="2"/>
        </w:numPr>
      </w:pPr>
      <w:r>
        <w:rPr>
          <w:b/>
          <w:bCs/>
        </w:rPr>
        <w:t xml:space="preserve">Statut : </w:t>
      </w:r>
      <w:r>
        <w:t xml:space="preserve">status (Active, Contingent, Archived), activation_condition, activation_decision_date</w:t>
      </w:r>
    </w:p>
    <w:p>
      <w:pPr>
        <w:pStyle w:val="ListParagraph"/>
        <w:numPr>
          <w:ilvl w:val="0"/>
          <w:numId w:val="2"/>
        </w:numPr>
      </w:pPr>
      <w:r>
        <w:rPr>
          <w:b/>
          <w:bCs/>
        </w:rPr>
        <w:t xml:space="preserve">Évaluation : </w:t>
      </w:r>
      <w:r>
        <w:t xml:space="preserve">current_score_type (Qualitative_4x4 → évolution vers Quantitative), probability, impact, exposure</w:t>
      </w:r>
    </w:p>
    <w:p>
      <w:pPr>
        <w:pStyle w:val="ListParagraph"/>
        <w:numPr>
          <w:ilvl w:val="0"/>
          <w:numId w:val="2"/>
        </w:numPr>
      </w:pPr>
      <w:r>
        <w:rPr>
          <w:b/>
          <w:bCs/>
        </w:rPr>
        <w:t xml:space="preserve">Gouvernance : </w:t>
      </w:r>
      <w:r>
        <w:t xml:space="preserve">owner, last_review_date, next_review_date</w:t>
      </w:r>
    </w:p>
    <w:p>
      <w:pPr>
        <w:pStyle w:val="Heading3"/>
        <w:spacing w:before="240"/>
      </w:pPr>
      <w:r>
        <w:t xml:space="preserve">Relation INFLUENCES</w:t>
      </w:r>
    </w:p>
    <w:p>
      <w:r>
        <w:t xml:space="preserve">Trois types de liens d'influence :</w:t>
      </w:r>
    </w:p>
    <w:p>
      <w:pPr>
        <w:spacing w:before="120"/>
      </w:pPr>
      <w:r>
        <w:t xml:space="preserve"/>
      </w:r>
    </w:p>
    <w:p>
      <w:pPr>
        <w:pStyle w:val="ListParagraph"/>
        <w:numPr>
          <w:ilvl w:val="0"/>
          <w:numId w:val="3"/>
        </w:numPr>
      </w:pPr>
      <w:r>
        <w:rPr>
          <w:b/>
          <w:bCs/>
        </w:rPr>
        <w:t xml:space="preserve">Niveau 1 (Op→Strat) : </w:t>
      </w:r>
      <w:r>
        <w:t xml:space="preserve">Comment les risques opérationnels impactent les risques stratégiques</w:t>
      </w:r>
    </w:p>
    <w:p>
      <w:pPr>
        <w:pStyle w:val="ListParagraph"/>
        <w:numPr>
          <w:ilvl w:val="0"/>
          <w:numId w:val="3"/>
        </w:numPr>
      </w:pPr>
      <w:r>
        <w:rPr>
          <w:b/>
          <w:bCs/>
        </w:rPr>
        <w:t xml:space="preserve">Niveau 2 (Strat→Strat) : </w:t>
      </w:r>
      <w:r>
        <w:t xml:space="preserve">Effets de cascade et d'amplification entre risques stratégiques</w:t>
      </w:r>
    </w:p>
    <w:p>
      <w:pPr>
        <w:pStyle w:val="ListParagraph"/>
        <w:numPr>
          <w:ilvl w:val="0"/>
          <w:numId w:val="3"/>
        </w:numPr>
      </w:pPr>
      <w:r>
        <w:rPr>
          <w:b/>
          <w:bCs/>
        </w:rPr>
        <w:t xml:space="preserve">Niveau 3 (Op→Op) : </w:t>
      </w:r>
      <w:r>
        <w:t xml:space="preserve">Propagation et corrélation entre risques opérationnels</w:t>
      </w:r>
    </w:p>
    <w:p>
      <w:pPr>
        <w:spacing w:before="120"/>
      </w:pPr>
      <w:r>
        <w:t xml:space="preserve"/>
      </w:r>
    </w:p>
    <w:p>
      <w:r>
        <w:t xml:space="preserve">Propriétés des liens : influence_type, strength (Weak/Moderate/Strong/Critical), description, confidence</w:t>
      </w:r>
    </w:p>
    <w:p>
      <w:pPr>
        <w:pStyle w:val="Heading2"/>
        <w:spacing w:before="240"/>
      </w:pPr>
      <w:r>
        <w:t xml:space="preserve">3.2 Volumétrie attendue</w:t>
      </w:r>
    </w:p>
    <w:p>
      <w:r>
        <w:t xml:space="preserve">Estimations pour le programme SMR :</w:t>
      </w:r>
    </w:p>
    <w:p>
      <w:pPr>
        <w:spacing w:before="120"/>
      </w:pPr>
      <w:r>
        <w:t xml:space="preserve"/>
      </w:r>
    </w:p>
    <w:p>
      <w:pPr>
        <w:pStyle w:val="ListParagraph"/>
        <w:numPr>
          <w:ilvl w:val="0"/>
          <w:numId w:val="2"/>
        </w:numPr>
      </w:pPr>
      <w:r>
        <w:rPr>
          <w:b/>
          <w:bCs/>
        </w:rPr>
        <w:t xml:space="preserve">Risques stratégiques : </w:t>
      </w:r>
      <w:r>
        <w:t xml:space="preserve">~30 risques majeurs</w:t>
      </w:r>
    </w:p>
    <w:p>
      <w:pPr>
        <w:pStyle w:val="ListParagraph"/>
        <w:numPr>
          <w:ilvl w:val="0"/>
          <w:numId w:val="2"/>
        </w:numPr>
      </w:pPr>
      <w:r>
        <w:rPr>
          <w:b/>
          <w:bCs/>
        </w:rPr>
        <w:t xml:space="preserve">Risques opérationnels : </w:t>
      </w:r>
      <w:r>
        <w:t xml:space="preserve">~300 risques détaillés</w:t>
      </w:r>
    </w:p>
    <w:p>
      <w:pPr>
        <w:pStyle w:val="ListParagraph"/>
        <w:numPr>
          <w:ilvl w:val="0"/>
          <w:numId w:val="2"/>
        </w:numPr>
      </w:pPr>
      <w:r>
        <w:rPr>
          <w:b/>
          <w:bCs/>
        </w:rPr>
        <w:t xml:space="preserve">Liens d'influence : </w:t>
      </w:r>
      <w:r>
        <w:t xml:space="preserve">~3000 relations</w:t>
      </w:r>
    </w:p>
    <w:p>
      <w:pPr>
        <w:pStyle w:val="Heading2"/>
        <w:spacing w:before="240"/>
      </w:pPr>
      <w:r>
        <w:t xml:space="preserve">3.3 Gouvernance et mise à jour</w:t>
      </w:r>
    </w:p>
    <w:p>
      <w:r>
        <w:t xml:space="preserve">Rythme de gouvernance proposé :</w:t>
      </w:r>
    </w:p>
    <w:p>
      <w:pPr>
        <w:spacing w:before="120"/>
      </w:pPr>
      <w:r>
        <w:t xml:space="preserve"/>
      </w:r>
    </w:p>
    <w:p>
      <w:pPr>
        <w:pStyle w:val="ListParagraph"/>
        <w:numPr>
          <w:ilvl w:val="0"/>
          <w:numId w:val="2"/>
        </w:numPr>
      </w:pPr>
      <w:r>
        <w:rPr>
          <w:b/>
          <w:bCs/>
        </w:rPr>
        <w:t xml:space="preserve">Risques stratégiques : </w:t>
      </w:r>
      <w:r>
        <w:t xml:space="preserve">Pilotage par le programme (transverse) avec représentants des verticales</w:t>
      </w:r>
    </w:p>
    <w:p>
      <w:pPr>
        <w:pStyle w:val="ListParagraph"/>
        <w:numPr>
          <w:ilvl w:val="0"/>
          <w:numId w:val="2"/>
        </w:numPr>
      </w:pPr>
      <w:r>
        <w:rPr>
          <w:b/>
          <w:bCs/>
        </w:rPr>
        <w:t xml:space="preserve">Risques opérationnels : </w:t>
      </w:r>
      <w:r>
        <w:t xml:space="preserve">Pilotage par les fonctions métiers et supports</w:t>
      </w:r>
    </w:p>
    <w:p>
      <w:pPr>
        <w:pStyle w:val="ListParagraph"/>
        <w:numPr>
          <w:ilvl w:val="0"/>
          <w:numId w:val="2"/>
        </w:numPr>
      </w:pPr>
      <w:r>
        <w:rPr>
          <w:b/>
          <w:bCs/>
        </w:rPr>
        <w:t xml:space="preserve">Mise à jour de la carte : </w:t>
      </w:r>
      <w:r>
        <w:t xml:space="preserve">Mensuelle avec revue formelle trimestrielle ou semestrielle</w:t>
      </w:r>
    </w:p>
    <w:p>
      <w:pPr>
        <w:pStyle w:val="ListParagraph"/>
        <w:numPr>
          <w:ilvl w:val="0"/>
          <w:numId w:val="2"/>
        </w:numPr>
      </w:pPr>
      <w:r>
        <w:rPr>
          <w:b/>
          <w:bCs/>
        </w:rPr>
        <w:t xml:space="preserve">Revue stratégique : </w:t>
      </w:r>
      <w:r>
        <w:t xml:space="preserve">Annuelle en Q3 avec décisions et évaluations</w:t>
      </w:r>
    </w:p>
    <w:p>
      <w:r>
        <w:br w:type="page"/>
      </w:r>
    </w:p>
    <w:p>
      <w:pPr>
        <w:pStyle w:val="Heading1"/>
      </w:pPr>
      <w:r>
        <w:t xml:space="preserve">4. Gestion des risques contingents</w:t>
      </w:r>
    </w:p>
    <w:p>
      <w:pPr>
        <w:pStyle w:val="Heading2"/>
      </w:pPr>
      <w:r>
        <w:t xml:space="preserve">4.1 Concept et importance</w:t>
      </w:r>
    </w:p>
    <w:p>
      <w:r>
        <w:t xml:space="preserve">Les risques contingents représentent une innovation majeure de la RIM. Ils correspondent à des risques dont l'existence ou le niveau d'exposition futur dépend de décisions structurantes à prendre maintenant ou dans les prochaines phases du programme.</w:t>
      </w:r>
    </w:p>
    <w:p>
      <w:pPr>
        <w:pStyle w:val="Heading2"/>
        <w:spacing w:before="240"/>
      </w:pPr>
      <w:r>
        <w:t xml:space="preserve">4.2 Exemples concrets pour le programme SMR</w:t>
      </w:r>
    </w:p>
    <w:p>
      <w:r>
        <w:t xml:space="preserve">Plusieurs cas d'usage illustrent cette approche :</w:t>
      </w:r>
    </w:p>
    <w:p>
      <w:pPr>
        <w:spacing w:before="120"/>
      </w:pPr>
      <w:r>
        <w:t xml:space="preserve"/>
      </w:r>
    </w:p>
    <w:p>
      <w:pPr>
        <w:pStyle w:val="ListParagraph"/>
        <w:numPr>
          <w:ilvl w:val="0"/>
          <w:numId w:val="2"/>
        </w:numPr>
      </w:pPr>
      <w:r>
        <w:rPr>
          <w:b/>
          <w:bCs/>
        </w:rPr>
        <w:t xml:space="preserve">Choix du combustible : </w:t>
      </w:r>
      <w:r>
        <w:t xml:space="preserve">Selon le type de combustible retenu, exposition à des tensions d'approvisionnement géopolitiques différentes</w:t>
      </w:r>
    </w:p>
    <w:p>
      <w:pPr>
        <w:pStyle w:val="ListParagraph"/>
        <w:numPr>
          <w:ilvl w:val="0"/>
          <w:numId w:val="2"/>
        </w:numPr>
      </w:pPr>
      <w:r>
        <w:rPr>
          <w:b/>
          <w:bCs/>
        </w:rPr>
        <w:t xml:space="preserve">Options technologiques : </w:t>
      </w:r>
      <w:r>
        <w:t xml:space="preserve">Certains choix techniques influencent les risques supply chain (M&amp;A hostiles par compétiteurs ou acteurs géostratégiques)</w:t>
      </w:r>
    </w:p>
    <w:p>
      <w:pPr>
        <w:pStyle w:val="ListParagraph"/>
        <w:numPr>
          <w:ilvl w:val="0"/>
          <w:numId w:val="2"/>
        </w:numPr>
      </w:pPr>
      <w:r>
        <w:rPr>
          <w:b/>
          <w:bCs/>
        </w:rPr>
        <w:t xml:space="preserve">Architecture backbone digital : </w:t>
      </w:r>
      <w:r>
        <w:t xml:space="preserve">Le compromis entre confidentialité/intégrité vs disponibilité/ouverture détermine la surface d'exposition cyber</w:t>
      </w:r>
    </w:p>
    <w:p>
      <w:pPr>
        <w:pStyle w:val="Heading2"/>
        <w:spacing w:before="240"/>
      </w:pPr>
      <w:r>
        <w:t xml:space="preserve">4.3 Modélisation dans la RIM</w:t>
      </w:r>
    </w:p>
    <w:p>
      <w:r>
        <w:t xml:space="preserve">Les risques contingents sont tracés avec :</w:t>
      </w:r>
    </w:p>
    <w:p>
      <w:pPr>
        <w:spacing w:before="120"/>
      </w:pPr>
      <w:r>
        <w:t xml:space="preserve"/>
      </w:r>
    </w:p>
    <w:p>
      <w:pPr>
        <w:pStyle w:val="ListParagraph"/>
        <w:numPr>
          <w:ilvl w:val="0"/>
          <w:numId w:val="2"/>
        </w:numPr>
      </w:pPr>
      <w:r>
        <w:rPr>
          <w:b/>
          <w:bCs/>
        </w:rPr>
        <w:t xml:space="preserve">Statut "Contingent" : </w:t>
      </w:r>
      <w:r>
        <w:t xml:space="preserve">Marquage explicite du risque comme conditionnel</w:t>
      </w:r>
    </w:p>
    <w:p>
      <w:pPr>
        <w:pStyle w:val="ListParagraph"/>
        <w:numPr>
          <w:ilvl w:val="0"/>
          <w:numId w:val="2"/>
        </w:numPr>
      </w:pPr>
      <w:r>
        <w:rPr>
          <w:b/>
          <w:bCs/>
        </w:rPr>
        <w:t xml:space="preserve">Condition d'activation : </w:t>
      </w:r>
      <w:r>
        <w:t xml:space="preserve">Description de la décision ou du choix qui active le risque</w:t>
      </w:r>
    </w:p>
    <w:p>
      <w:pPr>
        <w:pStyle w:val="ListParagraph"/>
        <w:numPr>
          <w:ilvl w:val="0"/>
          <w:numId w:val="2"/>
        </w:numPr>
      </w:pPr>
      <w:r>
        <w:rPr>
          <w:b/>
          <w:bCs/>
        </w:rPr>
        <w:t xml:space="preserve">Date de décision : </w:t>
      </w:r>
      <w:r>
        <w:t xml:space="preserve">Timeline de la décision structurante (ex: Q3 2026)</w:t>
      </w:r>
    </w:p>
    <w:p>
      <w:pPr>
        <w:pStyle w:val="ListParagraph"/>
        <w:numPr>
          <w:ilvl w:val="0"/>
          <w:numId w:val="2"/>
        </w:numPr>
      </w:pPr>
      <w:r>
        <w:rPr>
          <w:b/>
          <w:bCs/>
        </w:rPr>
        <w:t xml:space="preserve">Visualisation : </w:t>
      </w:r>
      <w:r>
        <w:t xml:space="preserve">Affichage en mode conditionnel (pointillés) dans le graphe</w:t>
      </w:r>
    </w:p>
    <w:p>
      <w:r>
        <w:br w:type="page"/>
      </w:r>
    </w:p>
    <w:p>
      <w:pPr>
        <w:pStyle w:val="Heading1"/>
      </w:pPr>
      <w:r>
        <w:t xml:space="preserve">5. Questions structurantes pour la définition finale</w:t>
      </w:r>
    </w:p>
    <w:p>
      <w:r>
        <w:t xml:space="preserve">Avant la mise en production de la RIM, plusieurs questions stratégiques doivent être tranchées pour assurer l'alignement avec les besoins du programme.</w:t>
      </w:r>
    </w:p>
    <w:p>
      <w:pPr>
        <w:pStyle w:val="Heading2"/>
        <w:spacing w:before="240"/>
      </w:pPr>
      <w:r>
        <w:t xml:space="preserve">5.1 Gouvernance et ownership</w:t>
      </w:r>
    </w:p>
    <w:p>
      <w:pPr>
        <w:pStyle w:val="ListParagraph"/>
        <w:numPr>
          <w:ilvl w:val="0"/>
          <w:numId w:val="2"/>
        </w:numPr>
      </w:pPr>
      <w:r>
        <w:t xml:space="preserve">Qui sera formellement responsable du pilotage des risques stratégiques vs opérationnels ?</w:t>
      </w:r>
    </w:p>
    <w:p>
      <w:pPr>
        <w:pStyle w:val="ListParagraph"/>
        <w:numPr>
          <w:ilvl w:val="0"/>
          <w:numId w:val="2"/>
        </w:numPr>
      </w:pPr>
      <w:r>
        <w:t xml:space="preserve">Quelle sera l'instance de décision pour l'activation/désactivation des risques contingents ?</w:t>
      </w:r>
    </w:p>
    <w:p>
      <w:pPr>
        <w:pStyle w:val="ListParagraph"/>
        <w:numPr>
          <w:ilvl w:val="0"/>
          <w:numId w:val="2"/>
        </w:numPr>
      </w:pPr>
      <w:r>
        <w:t xml:space="preserve">Qui validera les liens d'influence entre risques ?</w:t>
      </w:r>
    </w:p>
    <w:p>
      <w:pPr>
        <w:pStyle w:val="ListParagraph"/>
        <w:numPr>
          <w:ilvl w:val="0"/>
          <w:numId w:val="2"/>
        </w:numPr>
      </w:pPr>
      <w:r>
        <w:t xml:space="preserve">Quel workflow de validation pour les modifications de la carte ?</w:t>
      </w:r>
    </w:p>
    <w:p>
      <w:pPr>
        <w:pStyle w:val="Heading2"/>
        <w:spacing w:before="240"/>
      </w:pPr>
      <w:r>
        <w:t xml:space="preserve">5.2 Méthodologie d'évaluation</w:t>
      </w:r>
    </w:p>
    <w:p>
      <w:pPr>
        <w:pStyle w:val="ListParagraph"/>
        <w:numPr>
          <w:ilvl w:val="0"/>
          <w:numId w:val="2"/>
        </w:numPr>
      </w:pPr>
      <w:r>
        <w:t xml:space="preserve">Quelle méthodologie de scoring remplacera la heatmap 4x4 actuelle ?</w:t>
      </w:r>
    </w:p>
    <w:p>
      <w:pPr>
        <w:pStyle w:val="ListParagraph"/>
        <w:numPr>
          <w:ilvl w:val="0"/>
          <w:numId w:val="2"/>
        </w:numPr>
      </w:pPr>
      <w:r>
        <w:t xml:space="preserve">Quels critères pour la transition vers l'évaluation quantitative ?</w:t>
      </w:r>
    </w:p>
    <w:p>
      <w:pPr>
        <w:pStyle w:val="ListParagraph"/>
        <w:numPr>
          <w:ilvl w:val="0"/>
          <w:numId w:val="2"/>
        </w:numPr>
      </w:pPr>
      <w:r>
        <w:t xml:space="preserve">Comment pondérer l'exposition des risques contingents (probabilité × probabilité d'activation) ?</w:t>
      </w:r>
    </w:p>
    <w:p>
      <w:pPr>
        <w:pStyle w:val="ListParagraph"/>
        <w:numPr>
          <w:ilvl w:val="0"/>
          <w:numId w:val="2"/>
        </w:numPr>
      </w:pPr>
      <w:r>
        <w:t xml:space="preserve">Quels KRIs (Key Risk Indicators) pour le monitoring en temps réel ?</w:t>
      </w:r>
    </w:p>
    <w:p>
      <w:pPr>
        <w:pStyle w:val="Heading2"/>
        <w:spacing w:before="240"/>
      </w:pPr>
      <w:r>
        <w:t xml:space="preserve">5.3 Intégration système</w:t>
      </w:r>
    </w:p>
    <w:p>
      <w:pPr>
        <w:pStyle w:val="ListParagraph"/>
        <w:numPr>
          <w:ilvl w:val="0"/>
          <w:numId w:val="2"/>
        </w:numPr>
      </w:pPr>
      <w:r>
        <w:t xml:space="preserve">La RIM doit-elle s'intégrer avec d'autres outils du programme (ERP, PLM, etc.) ?</w:t>
      </w:r>
    </w:p>
    <w:p>
      <w:pPr>
        <w:pStyle w:val="ListParagraph"/>
        <w:numPr>
          <w:ilvl w:val="0"/>
          <w:numId w:val="2"/>
        </w:numPr>
      </w:pPr>
      <w:r>
        <w:t xml:space="preserve">Quel niveau de connexion avec le backbone digital en cours de définition ?</w:t>
      </w:r>
    </w:p>
    <w:p>
      <w:pPr>
        <w:pStyle w:val="ListParagraph"/>
        <w:numPr>
          <w:ilvl w:val="0"/>
          <w:numId w:val="2"/>
        </w:numPr>
      </w:pPr>
      <w:r>
        <w:t xml:space="preserve">Faut-il prévoir une API pour alimentation automatique de données ?</w:t>
      </w:r>
    </w:p>
    <w:p>
      <w:pPr>
        <w:pStyle w:val="Heading2"/>
        <w:spacing w:before="240"/>
      </w:pPr>
      <w:r>
        <w:t xml:space="preserve">5.4 Usage et communication</w:t>
      </w:r>
    </w:p>
    <w:p>
      <w:pPr>
        <w:pStyle w:val="ListParagraph"/>
        <w:numPr>
          <w:ilvl w:val="0"/>
          <w:numId w:val="2"/>
        </w:numPr>
      </w:pPr>
      <w:r>
        <w:t xml:space="preserve">Quels sont les cas d'usage prioritaires : simulation, monitoring, communication board, pilotage opérationnel ?</w:t>
      </w:r>
    </w:p>
    <w:p>
      <w:pPr>
        <w:pStyle w:val="ListParagraph"/>
        <w:numPr>
          <w:ilvl w:val="0"/>
          <w:numId w:val="2"/>
        </w:numPr>
      </w:pPr>
      <w:r>
        <w:t xml:space="preserve">Quels exports nécessaires pour les présentations au board (PPT, PDF) ?</w:t>
      </w:r>
    </w:p>
    <w:p>
      <w:pPr>
        <w:pStyle w:val="ListParagraph"/>
        <w:numPr>
          <w:ilvl w:val="0"/>
          <w:numId w:val="2"/>
        </w:numPr>
      </w:pPr>
      <w:r>
        <w:t xml:space="preserve">Quel niveau de granularité d'affichage selon les audiences (exec vs ops) ?</w:t>
      </w:r>
    </w:p>
    <w:p>
      <w:pPr>
        <w:pStyle w:val="Heading2"/>
        <w:spacing w:before="240"/>
      </w:pPr>
      <w:r>
        <w:t xml:space="preserve">5.5 Classification et filtrage</w:t>
      </w:r>
    </w:p>
    <w:p>
      <w:pPr>
        <w:pStyle w:val="ListParagraph"/>
        <w:numPr>
          <w:ilvl w:val="0"/>
          <w:numId w:val="2"/>
        </w:numPr>
      </w:pPr>
      <w:r>
        <w:t xml:space="preserve">Validation du multi-catégorisation (un risque dans Programme ET Produit) ?</w:t>
      </w:r>
    </w:p>
    <w:p>
      <w:pPr>
        <w:pStyle w:val="ListParagraph"/>
        <w:numPr>
          <w:ilvl w:val="0"/>
          <w:numId w:val="2"/>
        </w:numPr>
      </w:pPr>
      <w:r>
        <w:t xml:space="preserve">Les catégories actuelles (Programme/Produit/Industriel/Supply Chain) sont-elles suffisantes ?</w:t>
      </w:r>
    </w:p>
    <w:p>
      <w:pPr>
        <w:pStyle w:val="ListParagraph"/>
        <w:numPr>
          <w:ilvl w:val="0"/>
          <w:numId w:val="2"/>
        </w:numPr>
      </w:pPr>
      <w:r>
        <w:t xml:space="preserve">Faut-il ajouter une dimension temporelle (court terme vs long terme) ?</w:t>
      </w:r>
    </w:p>
    <w:p>
      <w:r>
        <w:br w:type="page"/>
      </w:r>
    </w:p>
    <w:p>
      <w:pPr>
        <w:pStyle w:val="Heading1"/>
      </w:pPr>
      <w:r>
        <w:t xml:space="preserve">6. Roadmap de déploiement</w:t>
      </w:r>
    </w:p>
    <w:p>
      <w:r>
        <w:t xml:space="preserve">Le déploiement de la Risk Influence Map s'organise en quatre phases progressives, permettant une validation incrémentale et une montée en compétence des utilisateurs.</w:t>
      </w:r>
    </w:p>
    <w:p>
      <w:pPr>
        <w:pStyle w:val="Heading2"/>
        <w:spacing w:before="240"/>
      </w:pPr>
      <w:r>
        <w:t xml:space="preserve">6.1 Phase 1 : POC enrichi (2 semaines)</w:t>
      </w:r>
    </w:p>
    <w:p>
      <w:r>
        <w:rPr>
          <w:b/>
          <w:bCs/>
        </w:rPr>
        <w:t xml:space="preserve">Objectif : </w:t>
      </w:r>
      <w:r>
        <w:t xml:space="preserve">Valider le concept avec une version fonctionnelle permettant la démonstration de valeur</w:t>
      </w:r>
    </w:p>
    <w:p>
      <w:pPr>
        <w:spacing w:before="120"/>
      </w:pPr>
      <w:r>
        <w:t xml:space="preserve"/>
      </w:r>
    </w:p>
    <w:p>
      <w:r>
        <w:rPr>
          <w:b/>
          <w:bCs/>
        </w:rPr>
        <w:t xml:space="preserve">Livrables :</w:t>
      </w:r>
    </w:p>
    <w:p>
      <w:pPr>
        <w:pStyle w:val="ListParagraph"/>
        <w:numPr>
          <w:ilvl w:val="0"/>
          <w:numId w:val="2"/>
        </w:numPr>
      </w:pPr>
      <w:r>
        <w:t xml:space="preserve">Modèle de données Neo4j complet avec risques stratégiques/opérationnels et risques contingents</w:t>
      </w:r>
    </w:p>
    <w:p>
      <w:pPr>
        <w:pStyle w:val="ListParagraph"/>
        <w:numPr>
          <w:ilvl w:val="0"/>
          <w:numId w:val="2"/>
        </w:numPr>
      </w:pPr>
      <w:r>
        <w:t xml:space="preserve">Interface Streamlit avec vue carte d'influence interactive et filtres multi-critères</w:t>
      </w:r>
    </w:p>
    <w:p>
      <w:pPr>
        <w:pStyle w:val="ListParagraph"/>
        <w:numPr>
          <w:ilvl w:val="0"/>
          <w:numId w:val="2"/>
        </w:numPr>
      </w:pPr>
      <w:r>
        <w:t xml:space="preserve">CRUD complet sur risques et liens d'influence</w:t>
      </w:r>
    </w:p>
    <w:p>
      <w:pPr>
        <w:pStyle w:val="ListParagraph"/>
        <w:numPr>
          <w:ilvl w:val="0"/>
          <w:numId w:val="2"/>
        </w:numPr>
      </w:pPr>
      <w:r>
        <w:t xml:space="preserve">Import/export Excel pour alimentation initiale des données</w:t>
      </w:r>
    </w:p>
    <w:p>
      <w:pPr>
        <w:pStyle w:val="ListParagraph"/>
        <w:numPr>
          <w:ilvl w:val="0"/>
          <w:numId w:val="2"/>
        </w:numPr>
      </w:pPr>
      <w:r>
        <w:t xml:space="preserve">Multi-catégorisation (Programme/Produit/Industriel/Supply Chain)</w:t>
      </w:r>
    </w:p>
    <w:p>
      <w:pPr>
        <w:spacing w:before="120"/>
      </w:pPr>
      <w:r>
        <w:t xml:space="preserve"/>
      </w:r>
    </w:p>
    <w:p>
      <w:r>
        <w:rPr>
          <w:b/>
          <w:bCs/>
        </w:rPr>
        <w:t xml:space="preserve">Critères de succès :</w:t>
      </w:r>
    </w:p>
    <w:p>
      <w:pPr>
        <w:pStyle w:val="ListParagraph"/>
        <w:numPr>
          <w:ilvl w:val="0"/>
          <w:numId w:val="4"/>
        </w:numPr>
      </w:pPr>
      <w:r>
        <w:t xml:space="preserve">Démonstration concluante auprès de la direction du programme</w:t>
      </w:r>
    </w:p>
    <w:p>
      <w:pPr>
        <w:pStyle w:val="ListParagraph"/>
        <w:numPr>
          <w:ilvl w:val="0"/>
          <w:numId w:val="4"/>
        </w:numPr>
      </w:pPr>
      <w:r>
        <w:t xml:space="preserve">Validation du modèle de données par les parties prenantes</w:t>
      </w:r>
    </w:p>
    <w:p>
      <w:pPr>
        <w:pStyle w:val="ListParagraph"/>
        <w:numPr>
          <w:ilvl w:val="0"/>
          <w:numId w:val="4"/>
        </w:numPr>
      </w:pPr>
      <w:r>
        <w:t xml:space="preserve">Obtention du go pour intégration à la gouvernance des risques</w:t>
      </w:r>
    </w:p>
    <w:p>
      <w:pPr>
        <w:pStyle w:val="Heading2"/>
        <w:spacing w:before="240"/>
      </w:pPr>
      <w:r>
        <w:t xml:space="preserve">6.2 Phase 2 : Fonctionnalités avancées (1 mois)</w:t>
      </w:r>
    </w:p>
    <w:p>
      <w:r>
        <w:rPr>
          <w:b/>
          <w:bCs/>
        </w:rPr>
        <w:t xml:space="preserve">Objectif : </w:t>
      </w:r>
      <w:r>
        <w:t xml:space="preserve">Enrichir l'outil avec les capacités de simulation et de pilotage</w:t>
      </w:r>
    </w:p>
    <w:p>
      <w:pPr>
        <w:spacing w:before="120"/>
      </w:pPr>
      <w:r>
        <w:t xml:space="preserve"/>
      </w:r>
    </w:p>
    <w:p>
      <w:r>
        <w:rPr>
          <w:b/>
          <w:bCs/>
        </w:rPr>
        <w:t xml:space="preserve">Livrables :</w:t>
      </w:r>
    </w:p>
    <w:p>
      <w:pPr>
        <w:pStyle w:val="ListParagraph"/>
        <w:numPr>
          <w:ilvl w:val="0"/>
          <w:numId w:val="2"/>
        </w:numPr>
      </w:pPr>
      <w:r>
        <w:t xml:space="preserve">Gestion complète des risques contingents avec timeline des décisions</w:t>
      </w:r>
    </w:p>
    <w:p>
      <w:pPr>
        <w:pStyle w:val="ListParagraph"/>
        <w:numPr>
          <w:ilvl w:val="0"/>
          <w:numId w:val="2"/>
        </w:numPr>
      </w:pPr>
      <w:r>
        <w:t xml:space="preserve">Dashboard exécutif avec KPIs et tendances</w:t>
      </w:r>
    </w:p>
    <w:p>
      <w:pPr>
        <w:pStyle w:val="ListParagraph"/>
        <w:numPr>
          <w:ilvl w:val="0"/>
          <w:numId w:val="2"/>
        </w:numPr>
      </w:pPr>
      <w:r>
        <w:t xml:space="preserve">Système de scoring flexible (quali/quanti)</w:t>
      </w:r>
    </w:p>
    <w:p>
      <w:pPr>
        <w:pStyle w:val="ListParagraph"/>
        <w:numPr>
          <w:ilvl w:val="0"/>
          <w:numId w:val="2"/>
        </w:numPr>
      </w:pPr>
      <w:r>
        <w:t xml:space="preserve">Historisation des modifications et versioning</w:t>
      </w:r>
    </w:p>
    <w:p>
      <w:pPr>
        <w:pStyle w:val="ListParagraph"/>
        <w:numPr>
          <w:ilvl w:val="0"/>
          <w:numId w:val="2"/>
        </w:numPr>
      </w:pPr>
      <w:r>
        <w:t xml:space="preserve">Simulation "Si décision X, quels risques s'activent ?"</w:t>
      </w:r>
    </w:p>
    <w:p>
      <w:pPr>
        <w:pStyle w:val="Heading2"/>
        <w:spacing w:before="240"/>
      </w:pPr>
      <w:r>
        <w:t xml:space="preserve">6.3 Phase 3 : Pilotage opérationnel (1-2 mois)</w:t>
      </w:r>
    </w:p>
    <w:p>
      <w:r>
        <w:rPr>
          <w:b/>
          <w:bCs/>
        </w:rPr>
        <w:t xml:space="preserve">Objectif : </w:t>
      </w:r>
      <w:r>
        <w:t xml:space="preserve">Transformer la RIM en outil de pilotage quotidien</w:t>
      </w:r>
    </w:p>
    <w:p>
      <w:pPr>
        <w:spacing w:before="120"/>
      </w:pPr>
      <w:r>
        <w:t xml:space="preserve"/>
      </w:r>
    </w:p>
    <w:p>
      <w:r>
        <w:rPr>
          <w:b/>
          <w:bCs/>
        </w:rPr>
        <w:t xml:space="preserve">Livrables :</w:t>
      </w:r>
    </w:p>
    <w:p>
      <w:pPr>
        <w:pStyle w:val="ListParagraph"/>
        <w:numPr>
          <w:ilvl w:val="0"/>
          <w:numId w:val="2"/>
        </w:numPr>
      </w:pPr>
      <w:r>
        <w:t xml:space="preserve">KRIs et monitoring en temps réel</w:t>
      </w:r>
    </w:p>
    <w:p>
      <w:pPr>
        <w:pStyle w:val="ListParagraph"/>
        <w:numPr>
          <w:ilvl w:val="0"/>
          <w:numId w:val="2"/>
        </w:numPr>
      </w:pPr>
      <w:r>
        <w:t xml:space="preserve">Analyse de scénarios avec propagation des impacts</w:t>
      </w:r>
    </w:p>
    <w:p>
      <w:pPr>
        <w:pStyle w:val="ListParagraph"/>
        <w:numPr>
          <w:ilvl w:val="0"/>
          <w:numId w:val="2"/>
        </w:numPr>
      </w:pPr>
      <w:r>
        <w:t xml:space="preserve">Exports pour communication (PowerPoint, PDF)</w:t>
      </w:r>
    </w:p>
    <w:p>
      <w:pPr>
        <w:pStyle w:val="ListParagraph"/>
        <w:numPr>
          <w:ilvl w:val="0"/>
          <w:numId w:val="2"/>
        </w:numPr>
      </w:pPr>
      <w:r>
        <w:t xml:space="preserve">Intégration avec outils programme (si validé)</w:t>
      </w:r>
    </w:p>
    <w:p>
      <w:pPr>
        <w:pStyle w:val="ListParagraph"/>
        <w:numPr>
          <w:ilvl w:val="0"/>
          <w:numId w:val="2"/>
        </w:numPr>
      </w:pPr>
      <w:r>
        <w:t xml:space="preserve">Formation des utilisateurs et documentation complète</w:t>
      </w:r>
    </w:p>
    <w:p>
      <w:pPr>
        <w:pStyle w:val="Heading2"/>
        <w:spacing w:before="240"/>
      </w:pPr>
      <w:r>
        <w:t xml:space="preserve">6.4 Phase 4 : Évolution continue (post-déploiement)</w:t>
      </w:r>
    </w:p>
    <w:p>
      <w:r>
        <w:rPr>
          <w:b/>
          <w:bCs/>
        </w:rPr>
        <w:t xml:space="preserve">Objectif : </w:t>
      </w:r>
      <w:r>
        <w:t xml:space="preserve">Faire évoluer l'outil vers une approche quantitative et prédictive</w:t>
      </w:r>
    </w:p>
    <w:p>
      <w:pPr>
        <w:spacing w:before="120"/>
      </w:pPr>
      <w:r>
        <w:t xml:space="preserve"/>
      </w:r>
    </w:p>
    <w:p>
      <w:r>
        <w:rPr>
          <w:b/>
          <w:bCs/>
        </w:rPr>
        <w:t xml:space="preserve">Livrables :</w:t>
      </w:r>
    </w:p>
    <w:p>
      <w:pPr>
        <w:pStyle w:val="ListParagraph"/>
        <w:numPr>
          <w:ilvl w:val="0"/>
          <w:numId w:val="2"/>
        </w:numPr>
      </w:pPr>
      <w:r>
        <w:t xml:space="preserve">Transition vers évaluation quantitative (€, jours de retard, etc.)</w:t>
      </w:r>
    </w:p>
    <w:p>
      <w:pPr>
        <w:pStyle w:val="ListParagraph"/>
        <w:numPr>
          <w:ilvl w:val="0"/>
          <w:numId w:val="2"/>
        </w:numPr>
      </w:pPr>
      <w:r>
        <w:t xml:space="preserve">Simulation Monte Carlo pour analyse probabiliste</w:t>
      </w:r>
    </w:p>
    <w:p>
      <w:pPr>
        <w:pStyle w:val="ListParagraph"/>
        <w:numPr>
          <w:ilvl w:val="0"/>
          <w:numId w:val="2"/>
        </w:numPr>
      </w:pPr>
      <w:r>
        <w:t xml:space="preserve">API pour alimentation automatique depuis systèmes sources</w:t>
      </w:r>
    </w:p>
    <w:p>
      <w:pPr>
        <w:pStyle w:val="ListParagraph"/>
        <w:numPr>
          <w:ilvl w:val="0"/>
          <w:numId w:val="2"/>
        </w:numPr>
      </w:pPr>
      <w:r>
        <w:t xml:space="preserve">Machine learning pour détection de patterns et prédiction</w:t>
      </w:r>
    </w:p>
    <w:p>
      <w:r>
        <w:br w:type="page"/>
      </w:r>
    </w:p>
    <w:p>
      <w:pPr>
        <w:pStyle w:val="Heading1"/>
      </w:pPr>
      <w:r>
        <w:t xml:space="preserve">7. Bénéfices attendus et facteurs de succès</w:t>
      </w:r>
    </w:p>
    <w:p>
      <w:pPr>
        <w:pStyle w:val="Heading2"/>
      </w:pPr>
      <w:r>
        <w:t xml:space="preserve">7.1 Bénéfices business</w:t>
      </w:r>
    </w:p>
    <w:p>
      <w:pPr>
        <w:pStyle w:val="ListParagraph"/>
        <w:numPr>
          <w:ilvl w:val="0"/>
          <w:numId w:val="2"/>
        </w:numPr>
      </w:pPr>
      <w:r>
        <w:rPr>
          <w:b/>
          <w:bCs/>
        </w:rPr>
        <w:t xml:space="preserve">Meilleure prise de décision : </w:t>
      </w:r>
      <w:r>
        <w:t xml:space="preserve">Simulation de l'impact des choix structurants avant leur mise en œuvre</w:t>
      </w:r>
    </w:p>
    <w:p>
      <w:pPr>
        <w:pStyle w:val="ListParagraph"/>
        <w:numPr>
          <w:ilvl w:val="0"/>
          <w:numId w:val="2"/>
        </w:numPr>
      </w:pPr>
      <w:r>
        <w:rPr>
          <w:b/>
          <w:bCs/>
        </w:rPr>
        <w:t xml:space="preserve">Anticipation renforcée : </w:t>
      </w:r>
      <w:r>
        <w:t xml:space="preserve">Identification précoce des risques futurs via les contingents</w:t>
      </w:r>
    </w:p>
    <w:p>
      <w:pPr>
        <w:pStyle w:val="ListParagraph"/>
        <w:numPr>
          <w:ilvl w:val="0"/>
          <w:numId w:val="2"/>
        </w:numPr>
      </w:pPr>
      <w:r>
        <w:rPr>
          <w:b/>
          <w:bCs/>
        </w:rPr>
        <w:t xml:space="preserve">Optimisation des investissements : </w:t>
      </w:r>
      <w:r>
        <w:t xml:space="preserve">Allocation des ressources de mitigation sur les chemins d'influence critiques</w:t>
      </w:r>
    </w:p>
    <w:p>
      <w:pPr>
        <w:pStyle w:val="ListParagraph"/>
        <w:numPr>
          <w:ilvl w:val="0"/>
          <w:numId w:val="2"/>
        </w:numPr>
      </w:pPr>
      <w:r>
        <w:rPr>
          <w:b/>
          <w:bCs/>
        </w:rPr>
        <w:t xml:space="preserve">Communication améliorée : </w:t>
      </w:r>
      <w:r>
        <w:t xml:space="preserve">Langage commun entre niveau exécutif et opérationnel</w:t>
      </w:r>
    </w:p>
    <w:p>
      <w:pPr>
        <w:pStyle w:val="Heading2"/>
        <w:spacing w:before="240"/>
      </w:pPr>
      <w:r>
        <w:t xml:space="preserve">7.2 Bénéfices organisationnels</w:t>
      </w:r>
    </w:p>
    <w:p>
      <w:pPr>
        <w:pStyle w:val="ListParagraph"/>
        <w:numPr>
          <w:ilvl w:val="0"/>
          <w:numId w:val="2"/>
        </w:numPr>
      </w:pPr>
      <w:r>
        <w:rPr>
          <w:b/>
          <w:bCs/>
        </w:rPr>
        <w:t xml:space="preserve">Alignement stratégique : </w:t>
      </w:r>
      <w:r>
        <w:t xml:space="preserve">Visibilité directe de l'impact opérationnel sur les objectifs du programme</w:t>
      </w:r>
    </w:p>
    <w:p>
      <w:pPr>
        <w:pStyle w:val="ListParagraph"/>
        <w:numPr>
          <w:ilvl w:val="0"/>
          <w:numId w:val="2"/>
        </w:numPr>
      </w:pPr>
      <w:r>
        <w:rPr>
          <w:b/>
          <w:bCs/>
        </w:rPr>
        <w:t xml:space="preserve">Responsabilisation : </w:t>
      </w:r>
      <w:r>
        <w:t xml:space="preserve">Ownership clair grâce à la séparation stratégique/opérationnel</w:t>
      </w:r>
    </w:p>
    <w:p>
      <w:pPr>
        <w:pStyle w:val="ListParagraph"/>
        <w:numPr>
          <w:ilvl w:val="0"/>
          <w:numId w:val="2"/>
        </w:numPr>
      </w:pPr>
      <w:r>
        <w:rPr>
          <w:b/>
          <w:bCs/>
        </w:rPr>
        <w:t xml:space="preserve">Culture risque renforcée : </w:t>
      </w:r>
      <w:r>
        <w:t xml:space="preserve">Compréhension partagée des interdépendances</w:t>
      </w:r>
    </w:p>
    <w:p>
      <w:pPr>
        <w:pStyle w:val="ListParagraph"/>
        <w:numPr>
          <w:ilvl w:val="0"/>
          <w:numId w:val="2"/>
        </w:numPr>
      </w:pPr>
      <w:r>
        <w:rPr>
          <w:b/>
          <w:bCs/>
        </w:rPr>
        <w:t xml:space="preserve">Agilité accrue : </w:t>
      </w:r>
      <w:r>
        <w:t xml:space="preserve">Capacité à réévaluer rapidement suite aux revues trimestrielles</w:t>
      </w:r>
    </w:p>
    <w:p>
      <w:pPr>
        <w:pStyle w:val="Heading2"/>
        <w:spacing w:before="240"/>
      </w:pPr>
      <w:r>
        <w:t xml:space="preserve">7.3 Facteurs clés de succès</w:t>
      </w:r>
    </w:p>
    <w:p>
      <w:pPr>
        <w:pStyle w:val="ListParagraph"/>
        <w:numPr>
          <w:ilvl w:val="0"/>
          <w:numId w:val="3"/>
        </w:numPr>
      </w:pPr>
      <w:r>
        <w:rPr>
          <w:b/>
          <w:bCs/>
        </w:rPr>
        <w:t xml:space="preserve">Sponsorship exécutif : </w:t>
      </w:r>
      <w:r>
        <w:t xml:space="preserve">Soutien actif de la direction du programme</w:t>
      </w:r>
    </w:p>
    <w:p>
      <w:pPr>
        <w:pStyle w:val="ListParagraph"/>
        <w:numPr>
          <w:ilvl w:val="0"/>
          <w:numId w:val="3"/>
        </w:numPr>
      </w:pPr>
      <w:r>
        <w:rPr>
          <w:b/>
          <w:bCs/>
        </w:rPr>
        <w:t xml:space="preserve">Implication métiers : </w:t>
      </w:r>
      <w:r>
        <w:t xml:space="preserve">Participation des verticales (Produit, Industriel, Supply Chain) dès la conception</w:t>
      </w:r>
    </w:p>
    <w:p>
      <w:pPr>
        <w:pStyle w:val="ListParagraph"/>
        <w:numPr>
          <w:ilvl w:val="0"/>
          <w:numId w:val="3"/>
        </w:numPr>
      </w:pPr>
      <w:r>
        <w:rPr>
          <w:b/>
          <w:bCs/>
        </w:rPr>
        <w:t xml:space="preserve">Qualité des données : </w:t>
      </w:r>
      <w:r>
        <w:t xml:space="preserve">Discipline dans l'alimentation et la mise à jour mensuelle</w:t>
      </w:r>
    </w:p>
    <w:p>
      <w:pPr>
        <w:pStyle w:val="ListParagraph"/>
        <w:numPr>
          <w:ilvl w:val="0"/>
          <w:numId w:val="3"/>
        </w:numPr>
      </w:pPr>
      <w:r>
        <w:rPr>
          <w:b/>
          <w:bCs/>
        </w:rPr>
        <w:t xml:space="preserve">Formation continue : </w:t>
      </w:r>
      <w:r>
        <w:t xml:space="preserve">Montée en compétence progressive des utilisateurs</w:t>
      </w:r>
    </w:p>
    <w:p>
      <w:pPr>
        <w:pStyle w:val="ListParagraph"/>
        <w:numPr>
          <w:ilvl w:val="0"/>
          <w:numId w:val="3"/>
        </w:numPr>
      </w:pPr>
      <w:r>
        <w:rPr>
          <w:b/>
          <w:bCs/>
        </w:rPr>
        <w:t xml:space="preserve">Itération rapide : </w:t>
      </w:r>
      <w:r>
        <w:t xml:space="preserve">Approche agile avec feedback loops courts</w:t>
      </w:r>
    </w:p>
    <w:p>
      <w:r>
        <w:br w:type="page"/>
      </w:r>
    </w:p>
    <w:p>
      <w:pPr>
        <w:pStyle w:val="Heading1"/>
      </w:pPr>
      <w:r>
        <w:t xml:space="preserve">8. Conclusion et prochaines étapes</w:t>
      </w:r>
    </w:p>
    <w:p>
      <w:r>
        <w:t xml:space="preserve">La Risk Influence Map représente une évolution majeure dans la gestion des risques du programme SMR. En combinant une vision stratégique orientée business avec une traçabilité opérationnelle rigoureuse, elle offre un outil de pilotage adapté à la complexité et aux enjeux du programme.</w:t>
      </w:r>
    </w:p>
    <w:p>
      <w:pPr>
        <w:spacing w:before="240"/>
      </w:pPr>
      <w:r>
        <w:t xml:space="preserve">L'approche par niveaux (stratégique/opérationnel) et la gestion des risques contingents permettent d'anticiper l'impact des décisions structurantes à venir en 2026-2027, période critique pour le succès du programme. La roadmap progressive assure une validation incrémentale et une adoption en douceur par les équipes.</w:t>
      </w:r>
    </w:p>
    <w:p>
      <w:pPr>
        <w:pStyle w:val="Heading2"/>
        <w:spacing w:before="240"/>
      </w:pPr>
      <w:r>
        <w:t xml:space="preserve">8.1 Prochaines étapes immédiates</w:t>
      </w:r>
    </w:p>
    <w:p>
      <w:pPr>
        <w:pStyle w:val="ListParagraph"/>
        <w:numPr>
          <w:ilvl w:val="0"/>
          <w:numId w:val="3"/>
        </w:numPr>
      </w:pPr>
      <w:r>
        <w:rPr>
          <w:b/>
          <w:bCs/>
        </w:rPr>
        <w:t xml:space="preserve">Validation du POC Phase 1 : </w:t>
      </w:r>
      <w:r>
        <w:t xml:space="preserve">Démonstration et recueil des feedbacks de la direction</w:t>
      </w:r>
    </w:p>
    <w:p>
      <w:pPr>
        <w:pStyle w:val="ListParagraph"/>
        <w:numPr>
          <w:ilvl w:val="0"/>
          <w:numId w:val="3"/>
        </w:numPr>
      </w:pPr>
      <w:r>
        <w:rPr>
          <w:b/>
          <w:bCs/>
        </w:rPr>
        <w:t xml:space="preserve">Réponse aux questions structurantes : </w:t>
      </w:r>
      <w:r>
        <w:t xml:space="preserve">Obtention des arbitrages sur la gouvernance et les méthodologies</w:t>
      </w:r>
    </w:p>
    <w:p>
      <w:pPr>
        <w:pStyle w:val="ListParagraph"/>
        <w:numPr>
          <w:ilvl w:val="0"/>
          <w:numId w:val="3"/>
        </w:numPr>
      </w:pPr>
      <w:r>
        <w:rPr>
          <w:b/>
          <w:bCs/>
        </w:rPr>
        <w:t xml:space="preserve">Intégration formelle : </w:t>
      </w:r>
      <w:r>
        <w:t xml:space="preserve">Décision d'intégration à la gouvernance officielle des risques du programme</w:t>
      </w:r>
    </w:p>
    <w:p>
      <w:pPr>
        <w:pStyle w:val="ListParagraph"/>
        <w:numPr>
          <w:ilvl w:val="0"/>
          <w:numId w:val="3"/>
        </w:numPr>
      </w:pPr>
      <w:r>
        <w:rPr>
          <w:b/>
          <w:bCs/>
        </w:rPr>
        <w:t xml:space="preserve">Lancement Phase 2 : </w:t>
      </w:r>
      <w:r>
        <w:t xml:space="preserve">Démarrage du développement des fonctionnalités avancées si validation obtenue</w:t>
      </w:r>
    </w:p>
    <w:p>
      <w:pPr>
        <w:pStyle w:val="Heading2"/>
        <w:spacing w:before="240"/>
      </w:pPr>
      <w:r>
        <w:t xml:space="preserve">8.2 Vision long terme</w:t>
      </w:r>
    </w:p>
    <w:p>
      <w:r>
        <w:t xml:space="preserve">À terme, la Risk Influence Map a vocation à devenir le système nerveux de la gestion des risques du programme, permettant :</w:t>
      </w:r>
    </w:p>
    <w:p>
      <w:pPr>
        <w:spacing w:before="120"/>
      </w:pPr>
      <w:r>
        <w:t xml:space="preserve"/>
      </w:r>
    </w:p>
    <w:p>
      <w:pPr>
        <w:pStyle w:val="ListParagraph"/>
        <w:numPr>
          <w:ilvl w:val="0"/>
          <w:numId w:val="2"/>
        </w:numPr>
      </w:pPr>
      <w:r>
        <w:t xml:space="preserve">Une prise de décision éclairée sur tous les choix structurants</w:t>
      </w:r>
    </w:p>
    <w:p>
      <w:pPr>
        <w:pStyle w:val="ListParagraph"/>
        <w:numPr>
          <w:ilvl w:val="0"/>
          <w:numId w:val="2"/>
        </w:numPr>
      </w:pPr>
      <w:r>
        <w:t xml:space="preserve">Un pilotage proactif basé sur l'anticipation plutôt que la réaction</w:t>
      </w:r>
    </w:p>
    <w:p>
      <w:pPr>
        <w:pStyle w:val="ListParagraph"/>
        <w:numPr>
          <w:ilvl w:val="0"/>
          <w:numId w:val="2"/>
        </w:numPr>
      </w:pPr>
      <w:r>
        <w:t xml:space="preserve">Une allocation optimale des ressources de mitigation</w:t>
      </w:r>
    </w:p>
    <w:p>
      <w:pPr>
        <w:pStyle w:val="ListParagraph"/>
        <w:numPr>
          <w:ilvl w:val="0"/>
          <w:numId w:val="2"/>
        </w:numPr>
      </w:pPr>
      <w:r>
        <w:t xml:space="preserve">Une communication transparente et alignée avec le board et les investisseurs</w:t>
      </w:r>
    </w:p>
    <w:p>
      <w:pPr>
        <w:spacing w:before="360"/>
      </w:pPr>
      <w:r>
        <w:t xml:space="preserve"/>
      </w:r>
    </w:p>
    <w:p>
      <w:pPr>
        <w:spacing w:before="240"/>
        <w:jc w:val="center"/>
      </w:pPr>
      <w:r>
        <w:rPr>
          <w:color w:val="CCCCCC"/>
        </w:rPr>
        <w:t xml:space="preserve">───────────</w:t>
      </w:r>
    </w:p>
    <w:p>
      <w:pPr>
        <w:spacing w:before="120"/>
      </w:pPr>
      <w:r>
        <w:t xml:space="preserve"/>
      </w:r>
    </w:p>
    <w:p>
      <w:pPr>
        <w:jc w:val="center"/>
      </w:pPr>
      <w:r>
        <w:rPr>
          <w:i/>
          <w:iCs/>
          <w:color w:val="666666"/>
          <w:sz w:val="20"/>
          <w:szCs w:val="20"/>
        </w:rPr>
        <w:t xml:space="preserve">Document préparé pour la direction du programme SMR</w:t>
      </w:r>
    </w:p>
    <w:p>
      <w:pPr>
        <w:jc w:val="center"/>
      </w:pPr>
      <w:r>
        <w:rPr>
          <w:i/>
          <w:iCs/>
          <w:color w:val="666666"/>
          <w:sz w:val="20"/>
          <w:szCs w:val="20"/>
        </w:rPr>
        <w:t xml:space="preserve">Risk Influence Map - Phase 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1f4e79"/>
      <w:sz w:val="56"/>
      <w:szCs w:val="56"/>
    </w:rPr>
  </w:style>
  <w:style w:type="paragraph" w:styleId="Heading1">
    <w:name w:val="Heading 1"/>
    <w:basedOn w:val="Normal"/>
    <w:next w:val="Normal"/>
    <w:qFormat/>
    <w:pPr>
      <w:spacing w:before="480" w:after="240"/>
      <w:outlineLvl w:val="0"/>
    </w:pPr>
    <w:rPr>
      <w:rFonts w:ascii="Arial" w:cs="Arial" w:eastAsia="Arial" w:hAnsi="Arial"/>
      <w:b/>
      <w:bCs/>
      <w:color w:val="1f4e79"/>
      <w:sz w:val="32"/>
      <w:szCs w:val="32"/>
    </w:rPr>
  </w:style>
  <w:style w:type="paragraph" w:styleId="Heading2">
    <w:name w:val="Heading 2"/>
    <w:basedOn w:val="Normal"/>
    <w:next w:val="Normal"/>
    <w:qFormat/>
    <w:pPr>
      <w:spacing w:before="360" w:after="180"/>
      <w:outlineLvl w:val="1"/>
    </w:pPr>
    <w:rPr>
      <w:rFonts w:ascii="Arial" w:cs="Arial" w:eastAsia="Arial" w:hAnsi="Arial"/>
      <w:b/>
      <w:bCs/>
      <w:color w:val="2e5c8a"/>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4a7ba7"/>
      <w:sz w:val="26"/>
      <w:szCs w:val="26"/>
    </w:rPr>
  </w:style>
  <w:style w:type="paragraph" w:styleId="Emphasis">
    <w:name w:val="Emphasis"/>
    <w:basedOn w:val="Normal"/>
    <w:pPr>
      <w:spacing w:after="120"/>
      <w:jc w:val="center"/>
    </w:pPr>
    <w:rPr>
      <w:rFonts w:ascii="Arial" w:cs="Arial" w:eastAsia="Arial" w:hAnsi="Arial"/>
      <w:i/>
      <w:iCs/>
      <w:color w:val="66666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2025-12-28T12:35:04.969Z</dcterms:created>
  <dcterms:modified xsi:type="dcterms:W3CDTF">2025-12-28T12:35:04.969Z</dcterms:modified>
</cp:coreProperties>
</file>

<file path=docProps/custom.xml><?xml version="1.0" encoding="utf-8"?>
<Properties xmlns="http://schemas.openxmlformats.org/officeDocument/2006/custom-properties" xmlns:vt="http://schemas.openxmlformats.org/officeDocument/2006/docPropsVTypes"/>
</file>