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8" w:rsidRPr="00E478F8" w:rsidRDefault="00E478F8" w:rsidP="00E478F8">
      <w:pPr>
        <w:spacing w:before="120" w:after="120" w:line="240" w:lineRule="auto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Por defecto, MySQL se ejecuta en modo autocommit. Esto significa que tan pronto como se ejecuta una sentencia se actualiza (modifica) la tabla, MySQL almacenará la actualización en disco.</w:t>
      </w:r>
    </w:p>
    <w:p w:rsidR="00E478F8" w:rsidRPr="00E478F8" w:rsidRDefault="00E478F8" w:rsidP="00E478F8">
      <w:pPr>
        <w:spacing w:after="0" w:line="240" w:lineRule="auto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Si se están usando tablas de transacción segura (como </w:t>
      </w:r>
      <w:r w:rsidRPr="00E478F8">
        <w:rPr>
          <w:rFonts w:ascii="Georgia" w:eastAsia="Times New Roman" w:hAnsi="Georgia" w:cs="Times New Roman"/>
          <w:b/>
          <w:bCs/>
          <w:color w:val="12100D"/>
          <w:sz w:val="23"/>
          <w:szCs w:val="23"/>
          <w:lang w:eastAsia="es-ES"/>
        </w:rPr>
        <w:t>InnoDB</w:t>
      </w: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o </w:t>
      </w:r>
      <w:r w:rsidRPr="00E478F8">
        <w:rPr>
          <w:rFonts w:ascii="Georgia" w:eastAsia="Times New Roman" w:hAnsi="Georgia" w:cs="Times New Roman"/>
          <w:b/>
          <w:bCs/>
          <w:color w:val="12100D"/>
          <w:sz w:val="23"/>
          <w:szCs w:val="23"/>
          <w:lang w:eastAsia="es-ES"/>
        </w:rPr>
        <w:t>BDB</w:t>
      </w: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), se puede poner MySQL en modo no-autocommit con el comando siguiente:</w:t>
      </w:r>
    </w:p>
    <w:p w:rsidR="00E478F8" w:rsidRPr="00E478F8" w:rsidRDefault="00E478F8" w:rsidP="00E478F8">
      <w:pPr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12100D"/>
          <w:sz w:val="21"/>
          <w:szCs w:val="21"/>
          <w:lang w:eastAsia="es-ES"/>
        </w:rPr>
      </w:pPr>
      <w:r w:rsidRPr="00E478F8">
        <w:rPr>
          <w:rFonts w:ascii="Courier New" w:eastAsia="Times New Roman" w:hAnsi="Courier New" w:cs="Courier New"/>
          <w:color w:val="12100D"/>
          <w:sz w:val="21"/>
          <w:szCs w:val="21"/>
          <w:lang w:eastAsia="es-ES"/>
        </w:rPr>
        <w:t>SET AUTOCOMMIT=0</w:t>
      </w:r>
    </w:p>
    <w:p w:rsidR="00E478F8" w:rsidRPr="00E478F8" w:rsidRDefault="00E478F8" w:rsidP="00E478F8">
      <w:pPr>
        <w:spacing w:after="0" w:line="240" w:lineRule="auto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Después de desconectar el modo autocommit asignando cero a la variable </w:t>
      </w:r>
      <w:r w:rsidRPr="00E478F8">
        <w:rPr>
          <w:rFonts w:ascii="Georgia" w:eastAsia="Times New Roman" w:hAnsi="Georgia" w:cs="Times New Roman"/>
          <w:i/>
          <w:iCs/>
          <w:color w:val="12100D"/>
          <w:sz w:val="23"/>
          <w:szCs w:val="23"/>
          <w:lang w:eastAsia="es-ES"/>
        </w:rPr>
        <w:t>AUTOCOMMIT</w:t>
      </w: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, se debe usar</w:t>
      </w:r>
      <w:r w:rsidRPr="00E478F8">
        <w:rPr>
          <w:rFonts w:ascii="Georgia" w:eastAsia="Times New Roman" w:hAnsi="Georgia" w:cs="Times New Roman"/>
          <w:b/>
          <w:bCs/>
          <w:color w:val="12100D"/>
          <w:sz w:val="23"/>
          <w:szCs w:val="23"/>
          <w:lang w:eastAsia="es-ES"/>
        </w:rPr>
        <w:t>COMMIT</w:t>
      </w: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para almecenar los cambios en disco o </w:t>
      </w:r>
      <w:r w:rsidRPr="00E478F8">
        <w:rPr>
          <w:rFonts w:ascii="Georgia" w:eastAsia="Times New Roman" w:hAnsi="Georgia" w:cs="Times New Roman"/>
          <w:b/>
          <w:bCs/>
          <w:color w:val="12100D"/>
          <w:sz w:val="23"/>
          <w:szCs w:val="23"/>
          <w:lang w:eastAsia="es-ES"/>
        </w:rPr>
        <w:t>ROLLBACK</w:t>
      </w: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 si se quieren ignorar los cambios hechos desde el principio de la transacción.</w:t>
      </w:r>
    </w:p>
    <w:p w:rsidR="00E478F8" w:rsidRPr="00E478F8" w:rsidRDefault="00E478F8" w:rsidP="00E478F8">
      <w:pPr>
        <w:spacing w:after="0" w:line="240" w:lineRule="auto"/>
        <w:jc w:val="both"/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</w:pPr>
      <w:r w:rsidRPr="00E478F8">
        <w:rPr>
          <w:rFonts w:ascii="Georgia" w:eastAsia="Times New Roman" w:hAnsi="Georgia" w:cs="Times New Roman"/>
          <w:color w:val="12100D"/>
          <w:sz w:val="23"/>
          <w:szCs w:val="23"/>
          <w:lang w:eastAsia="es-ES"/>
        </w:rPr>
        <w:t>Si se quiere desactivar el modo autocommit para una serire de sentencias, se puede usar una sentencia</w:t>
      </w:r>
      <w:r w:rsidRPr="00E478F8">
        <w:rPr>
          <w:rFonts w:ascii="Georgia" w:eastAsia="Times New Roman" w:hAnsi="Georgia" w:cs="Times New Roman"/>
          <w:b/>
          <w:bCs/>
          <w:color w:val="12100D"/>
          <w:sz w:val="23"/>
          <w:szCs w:val="23"/>
          <w:lang w:eastAsia="es-ES"/>
        </w:rPr>
        <w:t>START TRAN</w:t>
      </w:r>
    </w:p>
    <w:p w:rsidR="00E478F8" w:rsidRDefault="00E478F8" w:rsidP="00E478F8">
      <w:pPr>
        <w:pStyle w:val="NormalWeb"/>
        <w:spacing w:before="120" w:beforeAutospacing="0" w:after="12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Por defecto, MySQL se ejecuta en modo autocommit. Esto significa que tan pronto como se ejecuta una sentencia se actualiza (modifica) la tabla, MySQL almacenará la actualización en disco.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están usando tablas de transacción segura (como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InnoDB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BDB</w:t>
      </w:r>
      <w:r>
        <w:rPr>
          <w:rFonts w:ascii="Georgia" w:hAnsi="Georgia"/>
          <w:color w:val="12100D"/>
          <w:sz w:val="23"/>
          <w:szCs w:val="23"/>
        </w:rPr>
        <w:t>), se puede poner MySQL en modo no-autocommit con el comando siguiente:</w:t>
      </w:r>
    </w:p>
    <w:p w:rsidR="00E478F8" w:rsidRDefault="00E478F8" w:rsidP="00E478F8">
      <w:pPr>
        <w:pStyle w:val="HTMLconformatoprevio"/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E3E3E3"/>
        <w:spacing w:after="75"/>
        <w:rPr>
          <w:color w:val="12100D"/>
          <w:sz w:val="21"/>
          <w:szCs w:val="21"/>
        </w:rPr>
      </w:pPr>
      <w:r>
        <w:rPr>
          <w:color w:val="12100D"/>
          <w:sz w:val="21"/>
          <w:szCs w:val="21"/>
        </w:rPr>
        <w:t>SET AUTOCOMMIT=0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Después de desconectar el modo autocommit asignando cero a la variable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i/>
          <w:iCs/>
          <w:color w:val="12100D"/>
          <w:sz w:val="23"/>
          <w:szCs w:val="23"/>
        </w:rPr>
        <w:t>AUTOCOMMIT</w:t>
      </w:r>
      <w:r>
        <w:rPr>
          <w:rFonts w:ascii="Georgia" w:hAnsi="Georgia"/>
          <w:color w:val="12100D"/>
          <w:sz w:val="23"/>
          <w:szCs w:val="23"/>
        </w:rPr>
        <w:t>, se debe usar</w:t>
      </w:r>
      <w:r>
        <w:rPr>
          <w:rFonts w:ascii="Georgia" w:hAnsi="Georgia"/>
          <w:b/>
          <w:bCs/>
          <w:color w:val="12100D"/>
          <w:sz w:val="23"/>
          <w:szCs w:val="23"/>
        </w:rPr>
        <w:t>COMMIT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para almecenar los cambios en disco 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ROLLBACK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si se quieren ignorar los cambios hechos desde el principio de la transacción.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quiere desactivar el modo autocommit para una serire de sentencias, se puede usar una sentencia</w:t>
      </w:r>
      <w:r>
        <w:rPr>
          <w:rFonts w:ascii="Georgia" w:hAnsi="Georgia"/>
          <w:b/>
          <w:bCs/>
          <w:color w:val="12100D"/>
          <w:sz w:val="23"/>
          <w:szCs w:val="23"/>
        </w:rPr>
        <w:t>START TRAN</w:t>
      </w:r>
    </w:p>
    <w:p w:rsidR="00E478F8" w:rsidRDefault="00E478F8" w:rsidP="00E478F8">
      <w:pPr>
        <w:pStyle w:val="NormalWeb"/>
        <w:spacing w:before="120" w:beforeAutospacing="0" w:after="12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Por defecto, MySQL se ejecuta en modo autocommit. Esto significa que tan pronto como se ejecuta una sentencia se actualiza (modifica) la tabla, MySQL almacenará la actualización en disco.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están usando tablas de transacción segura (como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InnoDB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BDB</w:t>
      </w:r>
      <w:r>
        <w:rPr>
          <w:rFonts w:ascii="Georgia" w:hAnsi="Georgia"/>
          <w:color w:val="12100D"/>
          <w:sz w:val="23"/>
          <w:szCs w:val="23"/>
        </w:rPr>
        <w:t>), se puede poner MySQL en modo no-autocommit con el comando siguiente:</w:t>
      </w:r>
    </w:p>
    <w:p w:rsidR="00E478F8" w:rsidRDefault="00E478F8" w:rsidP="00E478F8">
      <w:pPr>
        <w:pStyle w:val="HTMLconformatoprevio"/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E3E3E3"/>
        <w:spacing w:after="75"/>
        <w:rPr>
          <w:color w:val="12100D"/>
          <w:sz w:val="21"/>
          <w:szCs w:val="21"/>
        </w:rPr>
      </w:pPr>
      <w:r>
        <w:rPr>
          <w:color w:val="12100D"/>
          <w:sz w:val="21"/>
          <w:szCs w:val="21"/>
        </w:rPr>
        <w:t>SET AUTOCOMMIT=0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Después de desconectar el modo autocommit asignando cero a la variable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i/>
          <w:iCs/>
          <w:color w:val="12100D"/>
          <w:sz w:val="23"/>
          <w:szCs w:val="23"/>
        </w:rPr>
        <w:t>AUTOCOMMIT</w:t>
      </w:r>
      <w:r>
        <w:rPr>
          <w:rFonts w:ascii="Georgia" w:hAnsi="Georgia"/>
          <w:color w:val="12100D"/>
          <w:sz w:val="23"/>
          <w:szCs w:val="23"/>
        </w:rPr>
        <w:t>, se debe usar</w:t>
      </w:r>
      <w:r>
        <w:rPr>
          <w:rFonts w:ascii="Georgia" w:hAnsi="Georgia"/>
          <w:b/>
          <w:bCs/>
          <w:color w:val="12100D"/>
          <w:sz w:val="23"/>
          <w:szCs w:val="23"/>
        </w:rPr>
        <w:t>COMMIT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para almecenar los cambios en disco 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ROLLBACK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si se quieren ignorar los cambios hechos desde el principio de la transacción.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quiere desactivar el modo autocommit para una serire de sentencias, se puede usar una sentencia</w:t>
      </w:r>
      <w:r>
        <w:rPr>
          <w:rFonts w:ascii="Georgia" w:hAnsi="Georgia"/>
          <w:b/>
          <w:bCs/>
          <w:color w:val="12100D"/>
          <w:sz w:val="23"/>
          <w:szCs w:val="23"/>
        </w:rPr>
        <w:t>START TRAN</w:t>
      </w:r>
    </w:p>
    <w:p w:rsidR="00E478F8" w:rsidRDefault="00E478F8" w:rsidP="00E478F8">
      <w:pPr>
        <w:pStyle w:val="NormalWeb"/>
        <w:spacing w:before="120" w:beforeAutospacing="0" w:after="12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Por defecto, MySQL se ejecuta en modo autocommit. Esto significa que tan pronto como se ejecuta una sentencia se actualiza (modifica) la tabla, MySQL almacenará la actualización en disco.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están usando tablas de transacción segura (como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InnoDB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BDB</w:t>
      </w:r>
      <w:r>
        <w:rPr>
          <w:rFonts w:ascii="Georgia" w:hAnsi="Georgia"/>
          <w:color w:val="12100D"/>
          <w:sz w:val="23"/>
          <w:szCs w:val="23"/>
        </w:rPr>
        <w:t>), se puede poner MySQL en modo no-autocommit con el comando siguiente:</w:t>
      </w:r>
    </w:p>
    <w:p w:rsidR="00E478F8" w:rsidRDefault="00E478F8" w:rsidP="00E478F8">
      <w:pPr>
        <w:pStyle w:val="HTMLconformatoprevio"/>
        <w:pBdr>
          <w:top w:val="single" w:sz="12" w:space="8" w:color="FFA500"/>
          <w:left w:val="single" w:sz="12" w:space="8" w:color="FFA500"/>
          <w:bottom w:val="single" w:sz="12" w:space="8" w:color="FFA500"/>
          <w:right w:val="single" w:sz="12" w:space="8" w:color="FFA500"/>
        </w:pBdr>
        <w:shd w:val="clear" w:color="auto" w:fill="E3E3E3"/>
        <w:spacing w:after="75"/>
        <w:rPr>
          <w:color w:val="12100D"/>
          <w:sz w:val="21"/>
          <w:szCs w:val="21"/>
        </w:rPr>
      </w:pPr>
      <w:r>
        <w:rPr>
          <w:color w:val="12100D"/>
          <w:sz w:val="21"/>
          <w:szCs w:val="21"/>
        </w:rPr>
        <w:t>SET AUTOCOMMIT=0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lastRenderedPageBreak/>
        <w:t>Después de desconectar el modo autocommit asignando cero a la variable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i/>
          <w:iCs/>
          <w:color w:val="12100D"/>
          <w:sz w:val="23"/>
          <w:szCs w:val="23"/>
        </w:rPr>
        <w:t>AUTOCOMMIT</w:t>
      </w:r>
      <w:r>
        <w:rPr>
          <w:rFonts w:ascii="Georgia" w:hAnsi="Georgia"/>
          <w:color w:val="12100D"/>
          <w:sz w:val="23"/>
          <w:szCs w:val="23"/>
        </w:rPr>
        <w:t>, se debe usar</w:t>
      </w:r>
      <w:r>
        <w:rPr>
          <w:rFonts w:ascii="Georgia" w:hAnsi="Georgia"/>
          <w:b/>
          <w:bCs/>
          <w:color w:val="12100D"/>
          <w:sz w:val="23"/>
          <w:szCs w:val="23"/>
        </w:rPr>
        <w:t>COMMIT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para almecenar los cambios en disco o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b/>
          <w:bCs/>
          <w:color w:val="12100D"/>
          <w:sz w:val="23"/>
          <w:szCs w:val="23"/>
        </w:rPr>
        <w:t>ROLLBACK</w:t>
      </w:r>
      <w:r>
        <w:rPr>
          <w:rStyle w:val="apple-converted-space"/>
          <w:rFonts w:ascii="Georgia" w:hAnsi="Georgia"/>
          <w:color w:val="12100D"/>
          <w:sz w:val="23"/>
          <w:szCs w:val="23"/>
        </w:rPr>
        <w:t> </w:t>
      </w:r>
      <w:r>
        <w:rPr>
          <w:rFonts w:ascii="Georgia" w:hAnsi="Georgia"/>
          <w:color w:val="12100D"/>
          <w:sz w:val="23"/>
          <w:szCs w:val="23"/>
        </w:rPr>
        <w:t>si se quieren ignorar los cambios hechos desde el principio de la transacción.</w:t>
      </w:r>
    </w:p>
    <w:p w:rsidR="00E478F8" w:rsidRDefault="00E478F8" w:rsidP="00E478F8">
      <w:pPr>
        <w:pStyle w:val="NormalWeb"/>
        <w:spacing w:before="0" w:beforeAutospacing="0" w:after="0" w:afterAutospacing="0"/>
        <w:jc w:val="both"/>
        <w:rPr>
          <w:rFonts w:ascii="Georgia" w:hAnsi="Georgia"/>
          <w:color w:val="12100D"/>
          <w:sz w:val="23"/>
          <w:szCs w:val="23"/>
        </w:rPr>
      </w:pPr>
      <w:r>
        <w:rPr>
          <w:rFonts w:ascii="Georgia" w:hAnsi="Georgia"/>
          <w:color w:val="12100D"/>
          <w:sz w:val="23"/>
          <w:szCs w:val="23"/>
        </w:rPr>
        <w:t>Si se quiere desactivar el modo autocommit para una serire de sentencias, se puede usar una sentencia</w:t>
      </w:r>
      <w:r>
        <w:rPr>
          <w:rFonts w:ascii="Georgia" w:hAnsi="Georgia"/>
          <w:b/>
          <w:bCs/>
          <w:color w:val="12100D"/>
          <w:sz w:val="23"/>
          <w:szCs w:val="23"/>
        </w:rPr>
        <w:t>START TRAN</w:t>
      </w:r>
    </w:p>
    <w:p w:rsidR="004B1A6A" w:rsidRDefault="004B1A6A">
      <w:bookmarkStart w:id="0" w:name="_GoBack"/>
      <w:bookmarkEnd w:id="0"/>
    </w:p>
    <w:sectPr w:rsidR="004B1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F8"/>
    <w:rsid w:val="004B1A6A"/>
    <w:rsid w:val="00E4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78F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8F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78F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8F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EMPRESARIAL COMPUTO GIRARDOT</dc:creator>
  <cp:lastModifiedBy>SALA EMPRESARIAL COMPUTO GIRARDOT</cp:lastModifiedBy>
  <cp:revision>1</cp:revision>
  <dcterms:created xsi:type="dcterms:W3CDTF">2012-08-14T12:20:00Z</dcterms:created>
  <dcterms:modified xsi:type="dcterms:W3CDTF">2012-08-14T12:20:00Z</dcterms:modified>
</cp:coreProperties>
</file>