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52E7D" w14:textId="01EE4183" w:rsidR="00DA6B20" w:rsidRDefault="00731CB2" w:rsidP="00731CB2">
      <w:pPr>
        <w:jc w:val="center"/>
        <w:rPr>
          <w:b/>
          <w:bCs/>
          <w:sz w:val="28"/>
          <w:szCs w:val="28"/>
        </w:rPr>
      </w:pPr>
      <w:r w:rsidRPr="00731CB2">
        <w:rPr>
          <w:b/>
          <w:bCs/>
          <w:sz w:val="28"/>
          <w:szCs w:val="28"/>
        </w:rPr>
        <w:t>EDR Assignment</w:t>
      </w:r>
    </w:p>
    <w:p w14:paraId="2C53EA0D" w14:textId="77777777" w:rsidR="008605E8" w:rsidRDefault="008605E8" w:rsidP="00731CB2">
      <w:pPr>
        <w:jc w:val="center"/>
        <w:rPr>
          <w:b/>
          <w:bCs/>
          <w:sz w:val="28"/>
          <w:szCs w:val="28"/>
        </w:rPr>
      </w:pPr>
    </w:p>
    <w:p w14:paraId="139F2D65" w14:textId="236F8156" w:rsidR="008605E8" w:rsidRDefault="008605E8" w:rsidP="008605E8">
      <w:pPr>
        <w:rPr>
          <w:b/>
          <w:bCs/>
          <w:sz w:val="26"/>
          <w:szCs w:val="24"/>
        </w:rPr>
      </w:pPr>
      <w:r w:rsidRPr="008605E8">
        <w:rPr>
          <w:b/>
          <w:bCs/>
          <w:sz w:val="26"/>
          <w:szCs w:val="24"/>
        </w:rPr>
        <w:t xml:space="preserve">Team: </w:t>
      </w:r>
    </w:p>
    <w:p w14:paraId="11DAB772" w14:textId="78E3CB1D" w:rsidR="00E5179D" w:rsidRPr="00E5179D" w:rsidRDefault="00E5179D" w:rsidP="00E5179D">
      <w:pPr>
        <w:pStyle w:val="ListParagraph"/>
        <w:numPr>
          <w:ilvl w:val="0"/>
          <w:numId w:val="9"/>
        </w:numPr>
        <w:rPr>
          <w:b/>
          <w:bCs/>
          <w:sz w:val="18"/>
          <w:szCs w:val="18"/>
          <w:lang w:eastAsia="ja-JP"/>
        </w:rPr>
      </w:pPr>
      <w:r w:rsidRPr="00E5179D">
        <w:rPr>
          <w:rFonts w:hint="eastAsia"/>
          <w:b/>
          <w:bCs/>
          <w:sz w:val="18"/>
          <w:szCs w:val="18"/>
          <w:lang w:eastAsia="ja-JP"/>
        </w:rPr>
        <w:t>Oana Sab</w:t>
      </w:r>
      <w:r w:rsidRPr="00E5179D">
        <w:rPr>
          <w:b/>
          <w:bCs/>
          <w:sz w:val="18"/>
          <w:szCs w:val="18"/>
          <w:lang w:val="ro-RO" w:eastAsia="ja-JP"/>
        </w:rPr>
        <w:t>ău</w:t>
      </w:r>
    </w:p>
    <w:p w14:paraId="1092DB96" w14:textId="71962939" w:rsidR="00E5179D" w:rsidRPr="00E5179D" w:rsidRDefault="00E5179D" w:rsidP="00E5179D">
      <w:pPr>
        <w:pStyle w:val="ListParagraph"/>
        <w:numPr>
          <w:ilvl w:val="0"/>
          <w:numId w:val="9"/>
        </w:numPr>
        <w:rPr>
          <w:b/>
          <w:bCs/>
          <w:sz w:val="18"/>
          <w:szCs w:val="18"/>
          <w:lang w:eastAsia="ja-JP"/>
        </w:rPr>
      </w:pPr>
      <w:r w:rsidRPr="00E5179D">
        <w:rPr>
          <w:b/>
          <w:bCs/>
          <w:sz w:val="18"/>
          <w:szCs w:val="18"/>
          <w:lang w:val="ro-RO" w:eastAsia="ja-JP"/>
        </w:rPr>
        <w:t>Teodora Boboc</w:t>
      </w:r>
    </w:p>
    <w:p w14:paraId="472E4971" w14:textId="26DB7BA1" w:rsidR="00E5179D" w:rsidRPr="00E5179D" w:rsidRDefault="00E5179D" w:rsidP="00E5179D">
      <w:pPr>
        <w:pStyle w:val="ListParagraph"/>
        <w:numPr>
          <w:ilvl w:val="0"/>
          <w:numId w:val="9"/>
        </w:numPr>
        <w:rPr>
          <w:b/>
          <w:bCs/>
          <w:sz w:val="18"/>
          <w:szCs w:val="18"/>
          <w:lang w:eastAsia="ja-JP"/>
        </w:rPr>
      </w:pPr>
      <w:r w:rsidRPr="00E5179D">
        <w:rPr>
          <w:b/>
          <w:bCs/>
          <w:sz w:val="18"/>
          <w:szCs w:val="18"/>
          <w:lang w:val="ro-RO" w:eastAsia="ja-JP"/>
        </w:rPr>
        <w:t>Cosmin Badea</w:t>
      </w:r>
    </w:p>
    <w:p w14:paraId="42F26DC7" w14:textId="25720D28" w:rsidR="00E5179D" w:rsidRPr="00E5179D" w:rsidRDefault="00E5179D" w:rsidP="00E5179D">
      <w:pPr>
        <w:pStyle w:val="ListParagraph"/>
        <w:numPr>
          <w:ilvl w:val="0"/>
          <w:numId w:val="9"/>
        </w:numPr>
        <w:rPr>
          <w:rFonts w:hint="eastAsia"/>
          <w:b/>
          <w:bCs/>
          <w:sz w:val="18"/>
          <w:szCs w:val="18"/>
          <w:lang w:eastAsia="ja-JP"/>
        </w:rPr>
      </w:pPr>
      <w:r w:rsidRPr="00E5179D">
        <w:rPr>
          <w:b/>
          <w:bCs/>
          <w:sz w:val="18"/>
          <w:szCs w:val="18"/>
          <w:lang w:val="ro-RO" w:eastAsia="ja-JP"/>
        </w:rPr>
        <w:t>Valentin Bănică</w:t>
      </w:r>
    </w:p>
    <w:p w14:paraId="4EF294B4" w14:textId="77777777" w:rsidR="00731CB2" w:rsidRDefault="00731CB2" w:rsidP="00731CB2">
      <w:pPr>
        <w:jc w:val="center"/>
        <w:rPr>
          <w:b/>
          <w:bCs/>
        </w:rPr>
      </w:pPr>
    </w:p>
    <w:p w14:paraId="4677958A" w14:textId="22A65EDA" w:rsidR="00731CB2" w:rsidRDefault="00731CB2" w:rsidP="00731CB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 1:</w:t>
      </w:r>
    </w:p>
    <w:p w14:paraId="66136D2C" w14:textId="60646B58" w:rsidR="00731CB2" w:rsidRDefault="00731CB2" w:rsidP="00731CB2">
      <w:r>
        <w:rPr>
          <w:b/>
          <w:bCs/>
        </w:rPr>
        <w:t>Research &amp; Documentation for DynamoDB:</w:t>
      </w:r>
    </w:p>
    <w:p w14:paraId="485F6FDD" w14:textId="2E92F206" w:rsidR="00731CB2" w:rsidRDefault="00731CB2" w:rsidP="00731CB2">
      <w:pPr>
        <w:rPr>
          <w:bCs/>
        </w:rPr>
      </w:pPr>
      <w:r>
        <w:rPr>
          <w:b/>
          <w:bCs/>
        </w:rPr>
        <w:t>Denormalization</w:t>
      </w:r>
      <w:r>
        <w:rPr>
          <w:bCs/>
        </w:rPr>
        <w:t>:</w:t>
      </w:r>
    </w:p>
    <w:p w14:paraId="15121971" w14:textId="4D22DB63" w:rsidR="00731CB2" w:rsidRDefault="00731CB2" w:rsidP="00731CB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You can store related data from multiple tables within a single DynamoDB item</w:t>
      </w:r>
      <w:r w:rsidR="0035284D">
        <w:rPr>
          <w:bCs/>
        </w:rPr>
        <w:t>;</w:t>
      </w:r>
    </w:p>
    <w:p w14:paraId="1C13950E" w14:textId="066E1335" w:rsidR="00DC6631" w:rsidRDefault="00DC6631" w:rsidP="00731CB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Easier to scale and faster to develop applications based on microservice architecture</w:t>
      </w:r>
      <w:r w:rsidR="00B33320">
        <w:rPr>
          <w:bCs/>
        </w:rPr>
        <w:t>;</w:t>
      </w:r>
    </w:p>
    <w:p w14:paraId="01939E2B" w14:textId="7036F1DD" w:rsidR="00B33320" w:rsidRDefault="00B33320" w:rsidP="00731CB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Store and process small items with few attributes</w:t>
      </w:r>
      <w:r w:rsidR="002541CF">
        <w:rPr>
          <w:bCs/>
        </w:rPr>
        <w:t xml:space="preserve">. </w:t>
      </w:r>
      <w:r w:rsidR="002541CF" w:rsidRPr="002541CF">
        <w:rPr>
          <w:bCs/>
        </w:rPr>
        <w:t xml:space="preserve">For items up to 4 KB in size, one RCU can perform two eventually consistent or 1 strongly consistent read requests per second. For items up to 1 KB in size, one WCU can perform one write request per </w:t>
      </w:r>
      <w:r w:rsidR="002541CF">
        <w:rPr>
          <w:bCs/>
        </w:rPr>
        <w:t>second.</w:t>
      </w:r>
    </w:p>
    <w:p w14:paraId="4B1486CC" w14:textId="674ED934" w:rsidR="00926848" w:rsidRPr="00731CB2" w:rsidRDefault="00926848" w:rsidP="00731CB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</w:t>
      </w:r>
      <w:r w:rsidRPr="00926848">
        <w:rPr>
          <w:bCs/>
        </w:rPr>
        <w:t>application need to read and write data in a high-traffic environment, without being concerned about synchronization of data across multiple tables</w:t>
      </w:r>
    </w:p>
    <w:p w14:paraId="3636744B" w14:textId="178107B1" w:rsidR="00731CB2" w:rsidRDefault="00731CB2" w:rsidP="00731CB2">
      <w:pPr>
        <w:rPr>
          <w:b/>
        </w:rPr>
      </w:pPr>
      <w:r>
        <w:rPr>
          <w:b/>
        </w:rPr>
        <w:t>Composite Keys:</w:t>
      </w:r>
    </w:p>
    <w:p w14:paraId="3B904A00" w14:textId="57120DF0" w:rsidR="0035284D" w:rsidRDefault="00650BD5" w:rsidP="0035284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</w:t>
      </w:r>
      <w:r w:rsidRPr="00650BD5">
        <w:rPr>
          <w:bCs/>
        </w:rPr>
        <w:t xml:space="preserve"> combination of the partition key and sort key</w:t>
      </w:r>
      <w:r>
        <w:rPr>
          <w:bCs/>
        </w:rPr>
        <w:t>;</w:t>
      </w:r>
    </w:p>
    <w:p w14:paraId="08482160" w14:textId="25EBEF35" w:rsidR="00650BD5" w:rsidRDefault="009B0C8C" w:rsidP="0035284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</w:t>
      </w:r>
      <w:r w:rsidRPr="009B0C8C">
        <w:rPr>
          <w:bCs/>
        </w:rPr>
        <w:t>ll Get, Update, and Delete item commands must include both the partition key and sort key</w:t>
      </w:r>
    </w:p>
    <w:p w14:paraId="646542CB" w14:textId="53DC4CD3" w:rsidR="00F04FCC" w:rsidRDefault="00F04FCC" w:rsidP="0035284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partition key is no longer considered unique</w:t>
      </w:r>
      <w:r w:rsidR="00EB1D59">
        <w:rPr>
          <w:bCs/>
        </w:rPr>
        <w:t>, but the composite key is considered unique, a</w:t>
      </w:r>
      <w:r w:rsidR="00EB1D59" w:rsidRPr="00EB1D59">
        <w:rPr>
          <w:bCs/>
        </w:rPr>
        <w:t>nd therefore you need both elements to identify the specific item you are referring to</w:t>
      </w:r>
    </w:p>
    <w:p w14:paraId="21355F32" w14:textId="15B98623" w:rsidR="003443D0" w:rsidRPr="00650BD5" w:rsidRDefault="003443D0" w:rsidP="0035284D">
      <w:pPr>
        <w:pStyle w:val="ListParagraph"/>
        <w:numPr>
          <w:ilvl w:val="0"/>
          <w:numId w:val="1"/>
        </w:numPr>
        <w:rPr>
          <w:bCs/>
        </w:rPr>
      </w:pPr>
      <w:r w:rsidRPr="003443D0">
        <w:rPr>
          <w:bCs/>
        </w:rPr>
        <w:t>This allows for more granular and efficient data retrieval, especially in large datasets</w:t>
      </w:r>
      <w:r w:rsidR="00880373">
        <w:rPr>
          <w:bCs/>
        </w:rPr>
        <w:t>, like in our case.</w:t>
      </w:r>
    </w:p>
    <w:p w14:paraId="2BE7D716" w14:textId="506DAF94" w:rsidR="00731CB2" w:rsidRPr="00731CB2" w:rsidRDefault="00731CB2" w:rsidP="00731CB2">
      <w:pPr>
        <w:rPr>
          <w:b/>
        </w:rPr>
      </w:pPr>
      <w:r>
        <w:rPr>
          <w:b/>
        </w:rPr>
        <w:t>Query Across Tables</w:t>
      </w:r>
    </w:p>
    <w:p w14:paraId="1297F4B9" w14:textId="1B76B819" w:rsidR="00880373" w:rsidRDefault="0035284D" w:rsidP="00880373">
      <w:pPr>
        <w:pStyle w:val="ListParagraph"/>
        <w:numPr>
          <w:ilvl w:val="0"/>
          <w:numId w:val="1"/>
        </w:numPr>
      </w:pPr>
      <w:r>
        <w:t>Effective for certain use cases</w:t>
      </w:r>
      <w:r w:rsidR="00880373">
        <w:t>;</w:t>
      </w:r>
    </w:p>
    <w:p w14:paraId="5E63E9A3" w14:textId="2660583A" w:rsidR="00880373" w:rsidRDefault="00880373" w:rsidP="00880373">
      <w:pPr>
        <w:pStyle w:val="ListParagraph"/>
        <w:numPr>
          <w:ilvl w:val="0"/>
          <w:numId w:val="1"/>
        </w:numPr>
      </w:pPr>
      <w:r>
        <w:t>DynamoDB doesn’t automatically sync the keys across multiple tables</w:t>
      </w:r>
      <w:r w:rsidR="00033DB9">
        <w:t>;</w:t>
      </w:r>
    </w:p>
    <w:p w14:paraId="16662B83" w14:textId="37C486C9" w:rsidR="00BA2388" w:rsidRDefault="00033DB9" w:rsidP="00BA2388">
      <w:pPr>
        <w:pStyle w:val="ListParagraph"/>
        <w:numPr>
          <w:ilvl w:val="0"/>
          <w:numId w:val="1"/>
        </w:numPr>
      </w:pPr>
      <w:r>
        <w:t>It isn’t recommended for complex read querie</w:t>
      </w:r>
      <w:r w:rsidR="00862FCB">
        <w:t>s;</w:t>
      </w:r>
    </w:p>
    <w:p w14:paraId="53B16093" w14:textId="04768CB6" w:rsidR="00E5179D" w:rsidRDefault="00E5179D">
      <w:r>
        <w:br w:type="page"/>
      </w:r>
    </w:p>
    <w:p w14:paraId="25FEFE7A" w14:textId="4CB6D88C" w:rsidR="00A90AC4" w:rsidRPr="00731CB2" w:rsidRDefault="00A90AC4" w:rsidP="00A90AC4">
      <w:pPr>
        <w:rPr>
          <w:rFonts w:hint="eastAsia"/>
          <w:b/>
          <w:lang w:eastAsia="ja-JP"/>
        </w:rPr>
      </w:pPr>
      <w:r>
        <w:rPr>
          <w:rFonts w:hint="eastAsia"/>
          <w:b/>
          <w:lang w:eastAsia="ja-JP"/>
        </w:rPr>
        <w:lastRenderedPageBreak/>
        <w:t>Conclusion</w:t>
      </w:r>
    </w:p>
    <w:p w14:paraId="04121C5B" w14:textId="18FAE2B8" w:rsidR="008605E8" w:rsidRPr="00BA2388" w:rsidRDefault="008605E8" w:rsidP="008605E8">
      <w:r>
        <w:t xml:space="preserve">The most efficient technique for </w:t>
      </w:r>
      <w:r w:rsidRPr="00A90AC4">
        <w:rPr>
          <w:i/>
          <w:iCs/>
        </w:rPr>
        <w:t>our assignment</w:t>
      </w:r>
      <w:r>
        <w:t xml:space="preserve"> is </w:t>
      </w:r>
      <w:r>
        <w:rPr>
          <w:b/>
          <w:bCs/>
        </w:rPr>
        <w:t>Composite Keys</w:t>
      </w:r>
      <w:r>
        <w:t>, which we have implemented in our solution</w:t>
      </w:r>
      <w:r w:rsidR="00032148" w:rsidRPr="00032148">
        <w:t xml:space="preserve"> because they enable efficient querying and logical data grouping, allowing us to perform range queries and target specific subsets of data. This approach supports multiple access patterns</w:t>
      </w:r>
      <w:r w:rsidR="00032148">
        <w:t xml:space="preserve"> and</w:t>
      </w:r>
      <w:r w:rsidR="00032148" w:rsidRPr="00032148">
        <w:t xml:space="preserve"> enhances scalability by distributing data evenly across partitions. Composite keys also provide flexibility in sorting and organizing hierarchical data, making them ideal for our application’s requirements.</w:t>
      </w:r>
    </w:p>
    <w:p w14:paraId="28B382C5" w14:textId="77777777" w:rsidR="00E5179D" w:rsidRDefault="00E5179D" w:rsidP="00BA2388">
      <w:pPr>
        <w:rPr>
          <w:b/>
          <w:bCs/>
          <w:sz w:val="26"/>
          <w:szCs w:val="28"/>
        </w:rPr>
      </w:pPr>
    </w:p>
    <w:p w14:paraId="0361BABE" w14:textId="60E412D6" w:rsidR="00E551A6" w:rsidRDefault="00E551A6" w:rsidP="00BA2388">
      <w:pPr>
        <w:rPr>
          <w:b/>
          <w:bCs/>
          <w:sz w:val="26"/>
          <w:szCs w:val="28"/>
        </w:rPr>
      </w:pPr>
      <w:r w:rsidRPr="00E551A6">
        <w:rPr>
          <w:b/>
          <w:bCs/>
          <w:sz w:val="26"/>
          <w:szCs w:val="28"/>
        </w:rPr>
        <w:t>Task 2:</w:t>
      </w:r>
    </w:p>
    <w:p w14:paraId="75B4FDEC" w14:textId="5D928E9E" w:rsidR="008605E8" w:rsidRDefault="0065211C" w:rsidP="00BA2388">
      <w:pPr>
        <w:rPr>
          <w:b/>
          <w:bCs/>
          <w:sz w:val="26"/>
          <w:szCs w:val="28"/>
        </w:rPr>
      </w:pPr>
      <w:r w:rsidRPr="0065211C">
        <w:rPr>
          <w:b/>
          <w:bCs/>
          <w:sz w:val="26"/>
          <w:szCs w:val="28"/>
        </w:rPr>
        <w:drawing>
          <wp:inline distT="0" distB="0" distL="0" distR="0" wp14:anchorId="5A762507" wp14:editId="2E51CC8A">
            <wp:extent cx="5943600" cy="3724275"/>
            <wp:effectExtent l="0" t="0" r="0" b="9525"/>
            <wp:docPr id="2019170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07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7A38" w14:textId="494EC86F" w:rsidR="00E551A6" w:rsidRDefault="0065211C" w:rsidP="008605E8">
      <w:pPr>
        <w:jc w:val="center"/>
      </w:pPr>
      <w:r>
        <w:rPr>
          <w:rFonts w:hint="eastAsia"/>
          <w:lang w:eastAsia="ja-JP"/>
        </w:rPr>
        <w:t xml:space="preserve">Fig. 1. </w:t>
      </w:r>
      <w:r w:rsidR="008605E8">
        <w:t>Our designed schema</w:t>
      </w:r>
    </w:p>
    <w:p w14:paraId="761BBE3D" w14:textId="215E12C3" w:rsidR="008605E8" w:rsidRDefault="008605E8" w:rsidP="008605E8">
      <w:pPr>
        <w:jc w:val="center"/>
      </w:pPr>
    </w:p>
    <w:p w14:paraId="7879DE11" w14:textId="3898A011" w:rsidR="0065211C" w:rsidRDefault="0065211C" w:rsidP="0065211C">
      <w:pPr>
        <w:rPr>
          <w:b/>
          <w:bCs/>
          <w:sz w:val="26"/>
          <w:szCs w:val="28"/>
          <w:lang w:eastAsia="ja-JP"/>
        </w:rPr>
      </w:pPr>
      <w:r w:rsidRPr="0065211C">
        <w:rPr>
          <w:rFonts w:hint="eastAsia"/>
          <w:b/>
          <w:bCs/>
          <w:sz w:val="26"/>
          <w:szCs w:val="28"/>
        </w:rPr>
        <w:t>Task 3</w:t>
      </w:r>
      <w:r w:rsidR="00E5179D">
        <w:rPr>
          <w:rFonts w:hint="eastAsia"/>
          <w:b/>
          <w:bCs/>
          <w:sz w:val="26"/>
          <w:szCs w:val="28"/>
          <w:lang w:eastAsia="ja-JP"/>
        </w:rPr>
        <w:t xml:space="preserve"> &amp; </w:t>
      </w:r>
      <w:r w:rsidRPr="0065211C">
        <w:rPr>
          <w:rFonts w:hint="eastAsia"/>
          <w:b/>
          <w:bCs/>
          <w:sz w:val="26"/>
          <w:szCs w:val="28"/>
        </w:rPr>
        <w:t xml:space="preserve">Task </w:t>
      </w:r>
      <w:r>
        <w:rPr>
          <w:rFonts w:hint="eastAsia"/>
          <w:b/>
          <w:bCs/>
          <w:sz w:val="26"/>
          <w:szCs w:val="28"/>
          <w:lang w:eastAsia="ja-JP"/>
        </w:rPr>
        <w:t>4</w:t>
      </w:r>
      <w:r>
        <w:rPr>
          <w:rFonts w:hint="eastAsia"/>
          <w:b/>
          <w:bCs/>
          <w:sz w:val="26"/>
          <w:szCs w:val="28"/>
          <w:lang w:eastAsia="ja-JP"/>
        </w:rPr>
        <w:t>:</w:t>
      </w:r>
    </w:p>
    <w:p w14:paraId="21A01226" w14:textId="7C9DA1FC" w:rsidR="008E3451" w:rsidRDefault="008E3451" w:rsidP="0065211C">
      <w:pPr>
        <w:rPr>
          <w:lang w:eastAsia="ja-JP"/>
        </w:rPr>
      </w:pPr>
      <w:r>
        <w:rPr>
          <w:rFonts w:hint="eastAsia"/>
          <w:lang w:eastAsia="ja-JP"/>
        </w:rPr>
        <w:t>Rough approximations on performance of implemented functions: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552"/>
        <w:gridCol w:w="1701"/>
        <w:gridCol w:w="1701"/>
        <w:gridCol w:w="3543"/>
      </w:tblGrid>
      <w:tr w:rsidR="00E5179D" w:rsidRPr="00E5179D" w14:paraId="1C0FEF48" w14:textId="0F34E5B1" w:rsidTr="00E5179D">
        <w:tc>
          <w:tcPr>
            <w:tcW w:w="2552" w:type="dxa"/>
            <w:vMerge w:val="restart"/>
          </w:tcPr>
          <w:p w14:paraId="3F1658D2" w14:textId="68BCD231" w:rsidR="00E5179D" w:rsidRPr="007500D5" w:rsidRDefault="00E5179D" w:rsidP="007500D5">
            <w:pPr>
              <w:jc w:val="center"/>
              <w:rPr>
                <w:rFonts w:hint="eastAsia"/>
                <w:b/>
                <w:bCs/>
                <w:sz w:val="28"/>
                <w:szCs w:val="28"/>
                <w:lang w:eastAsia="ja-JP"/>
              </w:rPr>
            </w:pPr>
            <w:r w:rsidRPr="007500D5">
              <w:rPr>
                <w:rFonts w:hint="eastAsia"/>
                <w:b/>
                <w:bCs/>
                <w:sz w:val="28"/>
                <w:szCs w:val="28"/>
                <w:lang w:eastAsia="ja-JP"/>
              </w:rPr>
              <w:t>Operation</w:t>
            </w:r>
          </w:p>
        </w:tc>
        <w:tc>
          <w:tcPr>
            <w:tcW w:w="3402" w:type="dxa"/>
            <w:gridSpan w:val="2"/>
          </w:tcPr>
          <w:p w14:paraId="3C0EBA5A" w14:textId="0BAEF467" w:rsidR="00E5179D" w:rsidRPr="007500D5" w:rsidRDefault="00E5179D" w:rsidP="007500D5">
            <w:pPr>
              <w:jc w:val="center"/>
              <w:rPr>
                <w:rFonts w:hint="eastAsia"/>
                <w:b/>
                <w:bCs/>
                <w:lang w:eastAsia="ja-JP"/>
              </w:rPr>
            </w:pPr>
            <w:r w:rsidRPr="007500D5">
              <w:rPr>
                <w:rFonts w:hint="eastAsia"/>
                <w:b/>
                <w:bCs/>
                <w:lang w:eastAsia="ja-JP"/>
              </w:rPr>
              <w:t>Duration</w:t>
            </w:r>
            <w:r>
              <w:rPr>
                <w:rFonts w:hint="eastAsia"/>
                <w:b/>
                <w:bCs/>
                <w:lang w:eastAsia="ja-JP"/>
              </w:rPr>
              <w:t xml:space="preserve"> (</w:t>
            </w:r>
            <w:r w:rsidRPr="007500D5">
              <w:rPr>
                <w:rFonts w:hint="eastAsia"/>
                <w:i/>
                <w:iCs/>
                <w:lang w:eastAsia="ja-JP"/>
              </w:rPr>
              <w:t>seconds</w:t>
            </w:r>
            <w:r>
              <w:rPr>
                <w:rFonts w:hint="eastAsia"/>
                <w:b/>
                <w:bCs/>
                <w:lang w:eastAsia="ja-JP"/>
              </w:rPr>
              <w:t>)</w:t>
            </w:r>
          </w:p>
        </w:tc>
        <w:tc>
          <w:tcPr>
            <w:tcW w:w="3543" w:type="dxa"/>
            <w:vMerge w:val="restart"/>
          </w:tcPr>
          <w:p w14:paraId="7B5C7C28" w14:textId="47F04D6A" w:rsidR="00E5179D" w:rsidRPr="00E5179D" w:rsidRDefault="00E5179D" w:rsidP="007500D5">
            <w:pPr>
              <w:jc w:val="center"/>
              <w:rPr>
                <w:rFonts w:hint="eastAsia"/>
                <w:b/>
                <w:bCs/>
                <w:sz w:val="28"/>
                <w:szCs w:val="28"/>
                <w:lang w:eastAsia="ja-JP"/>
              </w:rPr>
            </w:pPr>
            <w:r w:rsidRPr="00E5179D">
              <w:rPr>
                <w:rFonts w:hint="eastAsia"/>
                <w:b/>
                <w:bCs/>
                <w:sz w:val="28"/>
                <w:szCs w:val="28"/>
                <w:lang w:eastAsia="ja-JP"/>
              </w:rPr>
              <w:t>Notes</w:t>
            </w:r>
          </w:p>
        </w:tc>
      </w:tr>
      <w:tr w:rsidR="00E5179D" w:rsidRPr="00E5179D" w14:paraId="720BFCC1" w14:textId="261407F7" w:rsidTr="00E5179D">
        <w:tc>
          <w:tcPr>
            <w:tcW w:w="2552" w:type="dxa"/>
            <w:vMerge/>
          </w:tcPr>
          <w:p w14:paraId="2A5B55CE" w14:textId="77777777" w:rsidR="00E5179D" w:rsidRPr="007500D5" w:rsidRDefault="00E5179D" w:rsidP="007500D5">
            <w:pPr>
              <w:jc w:val="center"/>
              <w:rPr>
                <w:b/>
                <w:bCs/>
                <w:lang w:eastAsia="ja-JP"/>
              </w:rPr>
            </w:pPr>
          </w:p>
        </w:tc>
        <w:tc>
          <w:tcPr>
            <w:tcW w:w="1701" w:type="dxa"/>
          </w:tcPr>
          <w:p w14:paraId="0CF77F9A" w14:textId="7EFB3F75" w:rsidR="00E5179D" w:rsidRPr="007500D5" w:rsidRDefault="00E5179D" w:rsidP="007500D5">
            <w:pPr>
              <w:jc w:val="center"/>
              <w:rPr>
                <w:rFonts w:hint="eastAsia"/>
                <w:b/>
                <w:bCs/>
                <w:lang w:eastAsia="ja-JP"/>
              </w:rPr>
            </w:pPr>
            <w:r w:rsidRPr="007500D5">
              <w:rPr>
                <w:rFonts w:hint="eastAsia"/>
                <w:b/>
                <w:bCs/>
                <w:lang w:eastAsia="ja-JP"/>
              </w:rPr>
              <w:t>Query</w:t>
            </w:r>
          </w:p>
        </w:tc>
        <w:tc>
          <w:tcPr>
            <w:tcW w:w="1701" w:type="dxa"/>
          </w:tcPr>
          <w:p w14:paraId="0DE70087" w14:textId="0906EDF9" w:rsidR="00E5179D" w:rsidRPr="007500D5" w:rsidRDefault="00E5179D" w:rsidP="007500D5">
            <w:pPr>
              <w:jc w:val="center"/>
              <w:rPr>
                <w:rFonts w:hint="eastAsia"/>
                <w:b/>
                <w:bCs/>
                <w:lang w:eastAsia="ja-JP"/>
              </w:rPr>
            </w:pPr>
            <w:r w:rsidRPr="007500D5">
              <w:rPr>
                <w:rFonts w:hint="eastAsia"/>
                <w:b/>
                <w:bCs/>
                <w:lang w:eastAsia="ja-JP"/>
              </w:rPr>
              <w:t>Scan</w:t>
            </w:r>
          </w:p>
        </w:tc>
        <w:tc>
          <w:tcPr>
            <w:tcW w:w="3543" w:type="dxa"/>
            <w:vMerge/>
          </w:tcPr>
          <w:p w14:paraId="698244E7" w14:textId="77777777" w:rsidR="00E5179D" w:rsidRPr="00E5179D" w:rsidRDefault="00E5179D" w:rsidP="007500D5">
            <w:pPr>
              <w:jc w:val="center"/>
              <w:rPr>
                <w:rFonts w:hint="eastAsia"/>
                <w:b/>
                <w:bCs/>
                <w:sz w:val="28"/>
                <w:szCs w:val="28"/>
                <w:lang w:eastAsia="ja-JP"/>
              </w:rPr>
            </w:pPr>
          </w:p>
        </w:tc>
      </w:tr>
      <w:tr w:rsidR="00E5179D" w14:paraId="3AF60B59" w14:textId="459A3845" w:rsidTr="00E5179D">
        <w:tc>
          <w:tcPr>
            <w:tcW w:w="2552" w:type="dxa"/>
          </w:tcPr>
          <w:p w14:paraId="5549B8D5" w14:textId="7FE96AE9" w:rsidR="00E5179D" w:rsidRDefault="00E5179D" w:rsidP="007500D5">
            <w:pPr>
              <w:jc w:val="righ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Get_events</w:t>
            </w:r>
          </w:p>
        </w:tc>
        <w:tc>
          <w:tcPr>
            <w:tcW w:w="1701" w:type="dxa"/>
          </w:tcPr>
          <w:p w14:paraId="0844A46A" w14:textId="05820865" w:rsidR="00E5179D" w:rsidRDefault="00E5179D" w:rsidP="007500D5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0.588</w:t>
            </w:r>
          </w:p>
        </w:tc>
        <w:tc>
          <w:tcPr>
            <w:tcW w:w="1701" w:type="dxa"/>
          </w:tcPr>
          <w:p w14:paraId="4C64329A" w14:textId="199E440C" w:rsidR="00E5179D" w:rsidRDefault="00E5179D" w:rsidP="007500D5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0.635</w:t>
            </w:r>
          </w:p>
        </w:tc>
        <w:tc>
          <w:tcPr>
            <w:tcW w:w="3543" w:type="dxa"/>
          </w:tcPr>
          <w:p w14:paraId="486D8D8D" w14:textId="535D7D3E" w:rsidR="00E5179D" w:rsidRDefault="00E5179D" w:rsidP="007500D5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 vehicle </w:t>
            </w:r>
            <w:r>
              <w:rPr>
                <w:lang w:eastAsia="ja-JP"/>
              </w:rPr>
              <w:t>–</w:t>
            </w:r>
            <w:r>
              <w:rPr>
                <w:rFonts w:hint="eastAsia"/>
                <w:lang w:eastAsia="ja-JP"/>
              </w:rPr>
              <w:t xml:space="preserve"> 1 event </w:t>
            </w:r>
            <w:r>
              <w:rPr>
                <w:lang w:eastAsia="ja-JP"/>
              </w:rPr>
              <w:t>–</w:t>
            </w:r>
            <w:r>
              <w:rPr>
                <w:rFonts w:hint="eastAsia"/>
                <w:lang w:eastAsia="ja-JP"/>
              </w:rPr>
              <w:t xml:space="preserve"> 5 incidents</w:t>
            </w:r>
          </w:p>
        </w:tc>
      </w:tr>
      <w:tr w:rsidR="00E5179D" w14:paraId="46F703FD" w14:textId="2DDC35F0" w:rsidTr="00E5179D">
        <w:tc>
          <w:tcPr>
            <w:tcW w:w="2552" w:type="dxa"/>
            <w:vMerge w:val="restart"/>
          </w:tcPr>
          <w:p w14:paraId="54EBC310" w14:textId="3CC055F5" w:rsidR="00E5179D" w:rsidRDefault="00E5179D" w:rsidP="007500D5">
            <w:pPr>
              <w:jc w:val="righ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Generate_vehicle_data</w:t>
            </w:r>
          </w:p>
        </w:tc>
        <w:tc>
          <w:tcPr>
            <w:tcW w:w="3402" w:type="dxa"/>
            <w:gridSpan w:val="2"/>
          </w:tcPr>
          <w:p w14:paraId="6B9B7C28" w14:textId="057455CD" w:rsidR="00E5179D" w:rsidRDefault="00E5179D" w:rsidP="007500D5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1.455</w:t>
            </w:r>
          </w:p>
        </w:tc>
        <w:tc>
          <w:tcPr>
            <w:tcW w:w="3543" w:type="dxa"/>
          </w:tcPr>
          <w:p w14:paraId="740DF840" w14:textId="6A631100" w:rsidR="00E5179D" w:rsidRDefault="00E5179D" w:rsidP="007500D5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 vehicle </w:t>
            </w:r>
            <w:r>
              <w:rPr>
                <w:lang w:eastAsia="ja-JP"/>
              </w:rPr>
              <w:t>–</w:t>
            </w:r>
            <w:r>
              <w:rPr>
                <w:rFonts w:hint="eastAsia"/>
                <w:lang w:eastAsia="ja-JP"/>
              </w:rPr>
              <w:t xml:space="preserve"> 1 event </w:t>
            </w:r>
            <w:r>
              <w:rPr>
                <w:lang w:eastAsia="ja-JP"/>
              </w:rPr>
              <w:t>–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 incidents</w:t>
            </w:r>
          </w:p>
        </w:tc>
      </w:tr>
      <w:tr w:rsidR="00E5179D" w14:paraId="7A18E7C5" w14:textId="56F994B4" w:rsidTr="00E5179D">
        <w:tc>
          <w:tcPr>
            <w:tcW w:w="2552" w:type="dxa"/>
            <w:vMerge/>
          </w:tcPr>
          <w:p w14:paraId="79964F2C" w14:textId="77777777" w:rsidR="00E5179D" w:rsidRDefault="00E5179D" w:rsidP="007500D5">
            <w:pPr>
              <w:jc w:val="right"/>
              <w:rPr>
                <w:rFonts w:hint="eastAsia"/>
                <w:lang w:eastAsia="ja-JP"/>
              </w:rPr>
            </w:pPr>
          </w:p>
        </w:tc>
        <w:tc>
          <w:tcPr>
            <w:tcW w:w="3402" w:type="dxa"/>
            <w:gridSpan w:val="2"/>
          </w:tcPr>
          <w:p w14:paraId="397289B0" w14:textId="509C2E07" w:rsidR="00E5179D" w:rsidRDefault="00E5179D" w:rsidP="007500D5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8.371</w:t>
            </w:r>
          </w:p>
        </w:tc>
        <w:tc>
          <w:tcPr>
            <w:tcW w:w="3543" w:type="dxa"/>
          </w:tcPr>
          <w:p w14:paraId="3FCA9522" w14:textId="2C8F9682" w:rsidR="00E5179D" w:rsidRDefault="00E5179D" w:rsidP="007500D5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 xml:space="preserve"> vehicle</w:t>
            </w:r>
            <w:r>
              <w:rPr>
                <w:rFonts w:hint="eastAsia"/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–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 xml:space="preserve"> event</w:t>
            </w:r>
            <w:r>
              <w:rPr>
                <w:rFonts w:hint="eastAsia"/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–</w:t>
            </w:r>
            <w:r>
              <w:rPr>
                <w:rFonts w:hint="eastAsia"/>
                <w:lang w:eastAsia="ja-JP"/>
              </w:rPr>
              <w:t xml:space="preserve"> 8 incidents</w:t>
            </w:r>
          </w:p>
        </w:tc>
      </w:tr>
      <w:tr w:rsidR="00E5179D" w14:paraId="1BB6603F" w14:textId="59C807BA" w:rsidTr="00E5179D">
        <w:tc>
          <w:tcPr>
            <w:tcW w:w="2552" w:type="dxa"/>
          </w:tcPr>
          <w:p w14:paraId="3D0283C6" w14:textId="67F05F91" w:rsidR="00E5179D" w:rsidRDefault="00E5179D" w:rsidP="00E5179D">
            <w:pPr>
              <w:jc w:val="righ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Delete_data</w:t>
            </w:r>
          </w:p>
        </w:tc>
        <w:tc>
          <w:tcPr>
            <w:tcW w:w="1701" w:type="dxa"/>
          </w:tcPr>
          <w:p w14:paraId="24860B2A" w14:textId="263BB637" w:rsidR="00E5179D" w:rsidRDefault="00E5179D" w:rsidP="00E5179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1.163</w:t>
            </w:r>
          </w:p>
        </w:tc>
        <w:tc>
          <w:tcPr>
            <w:tcW w:w="1701" w:type="dxa"/>
          </w:tcPr>
          <w:p w14:paraId="456701A1" w14:textId="5BA10F68" w:rsidR="00E5179D" w:rsidRDefault="00E5179D" w:rsidP="00E5179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1.241</w:t>
            </w:r>
          </w:p>
        </w:tc>
        <w:tc>
          <w:tcPr>
            <w:tcW w:w="3543" w:type="dxa"/>
          </w:tcPr>
          <w:p w14:paraId="69DD4442" w14:textId="2DB66B23" w:rsidR="00E5179D" w:rsidRDefault="00E5179D" w:rsidP="00E5179D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2 vehicles </w:t>
            </w:r>
            <w:r>
              <w:rPr>
                <w:lang w:eastAsia="ja-JP"/>
              </w:rPr>
              <w:t>–</w:t>
            </w:r>
            <w:r>
              <w:rPr>
                <w:rFonts w:hint="eastAsia"/>
                <w:lang w:eastAsia="ja-JP"/>
              </w:rPr>
              <w:t xml:space="preserve"> 2 events </w:t>
            </w:r>
            <w:r>
              <w:rPr>
                <w:lang w:eastAsia="ja-JP"/>
              </w:rPr>
              <w:t>–</w:t>
            </w:r>
            <w:r>
              <w:rPr>
                <w:rFonts w:hint="eastAsia"/>
                <w:lang w:eastAsia="ja-JP"/>
              </w:rPr>
              <w:t xml:space="preserve"> 8 incidents</w:t>
            </w:r>
          </w:p>
        </w:tc>
      </w:tr>
    </w:tbl>
    <w:p w14:paraId="553020A6" w14:textId="77777777" w:rsidR="008E3451" w:rsidRDefault="008E3451" w:rsidP="0065211C">
      <w:pPr>
        <w:rPr>
          <w:lang w:eastAsia="ja-JP"/>
        </w:rPr>
      </w:pPr>
    </w:p>
    <w:p w14:paraId="34B9B068" w14:textId="2205D99C" w:rsidR="00E5179D" w:rsidRDefault="00E5179D" w:rsidP="0065211C">
      <w:pPr>
        <w:rPr>
          <w:lang w:eastAsia="ja-JP"/>
        </w:rPr>
      </w:pPr>
      <w:r>
        <w:rPr>
          <w:rFonts w:hint="eastAsia"/>
          <w:lang w:eastAsia="ja-JP"/>
        </w:rPr>
        <w:t>For our examined templates the measurements show how the scan is slightly slower than the querying methods.</w:t>
      </w:r>
    </w:p>
    <w:p w14:paraId="439E49B2" w14:textId="09AC900B" w:rsidR="00E5179D" w:rsidRDefault="00E5179D">
      <w:pPr>
        <w:rPr>
          <w:lang w:eastAsia="ja-JP"/>
        </w:rPr>
      </w:pPr>
    </w:p>
    <w:p w14:paraId="6DB48CD9" w14:textId="5782EFA3" w:rsidR="0065211C" w:rsidRDefault="0065211C" w:rsidP="0065211C">
      <w:pPr>
        <w:rPr>
          <w:lang w:eastAsia="ja-JP"/>
        </w:rPr>
      </w:pPr>
      <w:r w:rsidRPr="00E5179D">
        <w:rPr>
          <w:rFonts w:hint="eastAsia"/>
          <w:b/>
          <w:bCs/>
          <w:lang w:eastAsia="ja-JP"/>
        </w:rPr>
        <w:t>Output example</w:t>
      </w:r>
      <w:r>
        <w:rPr>
          <w:rFonts w:hint="eastAsia"/>
          <w:lang w:eastAsia="ja-JP"/>
        </w:rPr>
        <w:t>:</w:t>
      </w:r>
    </w:p>
    <w:p w14:paraId="2F05698F" w14:textId="469D6BED" w:rsidR="0065211C" w:rsidRDefault="00A90AC4" w:rsidP="00A90AC4">
      <w:pPr>
        <w:jc w:val="center"/>
        <w:rPr>
          <w:lang w:eastAsia="ja-JP"/>
        </w:rPr>
      </w:pPr>
      <w:r w:rsidRPr="00A90AC4">
        <w:rPr>
          <w:lang w:eastAsia="ja-JP"/>
        </w:rPr>
        <w:drawing>
          <wp:inline distT="0" distB="0" distL="0" distR="0" wp14:anchorId="11D3FCCE" wp14:editId="1A9AFB0A">
            <wp:extent cx="2657846" cy="1133633"/>
            <wp:effectExtent l="0" t="0" r="9525" b="9525"/>
            <wp:docPr id="12663088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884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18D" w14:textId="11D87F7F" w:rsidR="00A90AC4" w:rsidRDefault="00A90AC4" w:rsidP="00A90AC4">
      <w:pPr>
        <w:jc w:val="center"/>
        <w:rPr>
          <w:lang w:eastAsia="ja-JP"/>
        </w:rPr>
      </w:pPr>
      <w:r>
        <w:rPr>
          <w:rFonts w:hint="eastAsia"/>
          <w:lang w:eastAsia="ja-JP"/>
        </w:rPr>
        <w:t xml:space="preserve">Fig. 2. Example of found accident </w:t>
      </w:r>
    </w:p>
    <w:p w14:paraId="4881C6AA" w14:textId="45394350" w:rsidR="00A90AC4" w:rsidRDefault="00A90AC4" w:rsidP="00A90AC4">
      <w:pPr>
        <w:jc w:val="center"/>
        <w:rPr>
          <w:lang w:eastAsia="ja-JP"/>
        </w:rPr>
      </w:pPr>
      <w:r w:rsidRPr="00A90AC4">
        <w:rPr>
          <w:lang w:eastAsia="ja-JP"/>
        </w:rPr>
        <w:drawing>
          <wp:inline distT="0" distB="0" distL="0" distR="0" wp14:anchorId="40D83851" wp14:editId="41F5569D">
            <wp:extent cx="3372321" cy="428685"/>
            <wp:effectExtent l="0" t="0" r="0" b="9525"/>
            <wp:docPr id="11531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76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54B" w14:textId="6313B534" w:rsidR="00A90AC4" w:rsidRDefault="00A90AC4" w:rsidP="00A90AC4">
      <w:pPr>
        <w:jc w:val="center"/>
        <w:rPr>
          <w:rFonts w:hint="eastAsia"/>
          <w:lang w:eastAsia="ja-JP"/>
        </w:rPr>
      </w:pPr>
      <w:r>
        <w:rPr>
          <w:rFonts w:hint="eastAsia"/>
          <w:lang w:eastAsia="ja-JP"/>
        </w:rPr>
        <w:t>Fig. 3. Example of false positive</w:t>
      </w:r>
    </w:p>
    <w:p w14:paraId="45DD078C" w14:textId="4AD5D542" w:rsidR="008605E8" w:rsidRDefault="008605E8" w:rsidP="008605E8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Task 5:</w:t>
      </w:r>
    </w:p>
    <w:p w14:paraId="5607FF3A" w14:textId="77777777" w:rsidR="008605E8" w:rsidRPr="008605E8" w:rsidRDefault="008605E8" w:rsidP="008605E8">
      <w:pPr>
        <w:rPr>
          <w:b/>
          <w:bCs/>
        </w:rPr>
      </w:pPr>
      <w:r w:rsidRPr="008605E8">
        <w:rPr>
          <w:b/>
          <w:bCs/>
        </w:rPr>
        <w:t>Global Secondary Indexes (GSI)</w:t>
      </w:r>
    </w:p>
    <w:p w14:paraId="0BD74331" w14:textId="454FCAF9" w:rsidR="008605E8" w:rsidRPr="008605E8" w:rsidRDefault="008605E8" w:rsidP="008605E8">
      <w:pPr>
        <w:pStyle w:val="ListParagraph"/>
        <w:numPr>
          <w:ilvl w:val="0"/>
          <w:numId w:val="2"/>
        </w:numPr>
      </w:pPr>
      <w:r w:rsidRPr="008605E8">
        <w:t>A GSI allows you to query data across the entire table using a different partition key and sort key from the base table.</w:t>
      </w:r>
    </w:p>
    <w:p w14:paraId="5C397096" w14:textId="2742B613" w:rsidR="008605E8" w:rsidRPr="008605E8" w:rsidRDefault="008605E8" w:rsidP="008605E8">
      <w:pPr>
        <w:pStyle w:val="ListParagraph"/>
        <w:numPr>
          <w:ilvl w:val="0"/>
          <w:numId w:val="2"/>
        </w:numPr>
      </w:pPr>
      <w:r w:rsidRPr="008605E8">
        <w:t>GSIs are highly flexible as they can span all the data in the base table, across all partitions.</w:t>
      </w:r>
    </w:p>
    <w:p w14:paraId="18F322BD" w14:textId="1761947B" w:rsidR="008605E8" w:rsidRDefault="008605E8" w:rsidP="008605E8">
      <w:pPr>
        <w:pStyle w:val="ListParagraph"/>
        <w:numPr>
          <w:ilvl w:val="0"/>
          <w:numId w:val="2"/>
        </w:numPr>
      </w:pPr>
      <w:r w:rsidRPr="008605E8">
        <w:t>Ideal for queries that need to access data across multiple partitions or when you need to query on attributes that are not part of the primary key2.</w:t>
      </w:r>
    </w:p>
    <w:p w14:paraId="1589FE70" w14:textId="77777777" w:rsidR="008605E8" w:rsidRPr="008605E8" w:rsidRDefault="008605E8" w:rsidP="008605E8">
      <w:pPr>
        <w:pStyle w:val="ListParagraph"/>
      </w:pPr>
    </w:p>
    <w:p w14:paraId="428875B7" w14:textId="77777777" w:rsidR="008605E8" w:rsidRPr="008605E8" w:rsidRDefault="008605E8" w:rsidP="008605E8">
      <w:pPr>
        <w:rPr>
          <w:b/>
          <w:bCs/>
        </w:rPr>
      </w:pPr>
      <w:r w:rsidRPr="008605E8">
        <w:rPr>
          <w:b/>
          <w:bCs/>
        </w:rPr>
        <w:t>Local Secondary Indexes (LSI)</w:t>
      </w:r>
    </w:p>
    <w:p w14:paraId="0818CB25" w14:textId="18A5AF4C" w:rsidR="008605E8" w:rsidRPr="008605E8" w:rsidRDefault="008605E8" w:rsidP="008605E8">
      <w:pPr>
        <w:pStyle w:val="ListParagraph"/>
        <w:numPr>
          <w:ilvl w:val="0"/>
          <w:numId w:val="3"/>
        </w:numPr>
      </w:pPr>
      <w:r w:rsidRPr="008605E8">
        <w:t>An LSI uses the same partition key as the base table but allows a different sort key.</w:t>
      </w:r>
    </w:p>
    <w:p w14:paraId="3A35FFDE" w14:textId="50751E4E" w:rsidR="008605E8" w:rsidRPr="008605E8" w:rsidRDefault="008605E8" w:rsidP="008605E8">
      <w:pPr>
        <w:pStyle w:val="ListParagraph"/>
        <w:numPr>
          <w:ilvl w:val="0"/>
          <w:numId w:val="3"/>
        </w:numPr>
      </w:pPr>
      <w:r w:rsidRPr="008605E8">
        <w:t>LSIs are scoped to a base table partition, meaning they are limited to the partition key value1.</w:t>
      </w:r>
    </w:p>
    <w:p w14:paraId="44A5AEAE" w14:textId="3818702D" w:rsidR="008605E8" w:rsidRDefault="008605E8" w:rsidP="008605E8">
      <w:pPr>
        <w:pStyle w:val="ListParagraph"/>
        <w:numPr>
          <w:ilvl w:val="0"/>
          <w:numId w:val="3"/>
        </w:numPr>
      </w:pPr>
      <w:r w:rsidRPr="008605E8">
        <w:t>The total size of indexed items for any one partition key value cannot exceed 10 GB1.</w:t>
      </w:r>
    </w:p>
    <w:p w14:paraId="5A56D6A3" w14:textId="5C6D3B8E" w:rsidR="0065211C" w:rsidRDefault="0065211C"/>
    <w:p w14:paraId="46C80826" w14:textId="77777777" w:rsidR="008605E8" w:rsidRPr="008605E8" w:rsidRDefault="008605E8" w:rsidP="008605E8">
      <w:pPr>
        <w:rPr>
          <w:b/>
          <w:bCs/>
        </w:rPr>
      </w:pPr>
      <w:r w:rsidRPr="008605E8">
        <w:rPr>
          <w:b/>
          <w:bCs/>
        </w:rPr>
        <w:t>Composite Keys</w:t>
      </w:r>
    </w:p>
    <w:p w14:paraId="02ED6722" w14:textId="4D8F9721" w:rsidR="008605E8" w:rsidRPr="008605E8" w:rsidRDefault="008605E8" w:rsidP="008605E8">
      <w:pPr>
        <w:pStyle w:val="ListParagraph"/>
        <w:numPr>
          <w:ilvl w:val="0"/>
          <w:numId w:val="4"/>
        </w:numPr>
      </w:pPr>
      <w:r w:rsidRPr="008605E8">
        <w:t>Composite keys in DynamoDB consist of a partition key and a sort key. This combination allows for more complex query patterns.</w:t>
      </w:r>
    </w:p>
    <w:p w14:paraId="689A4835" w14:textId="772FDE78" w:rsidR="008605E8" w:rsidRPr="008605E8" w:rsidRDefault="008605E8" w:rsidP="008605E8">
      <w:pPr>
        <w:pStyle w:val="ListParagraph"/>
        <w:numPr>
          <w:ilvl w:val="0"/>
          <w:numId w:val="4"/>
        </w:numPr>
      </w:pPr>
      <w:r w:rsidRPr="008605E8">
        <w:t>They enable you to store multiple items with the same partition key but different sort keys, allowing for efficient querying and sorting within a partition.</w:t>
      </w:r>
    </w:p>
    <w:p w14:paraId="3373A179" w14:textId="6DC140AB" w:rsidR="00E5179D" w:rsidRDefault="008605E8" w:rsidP="00C050A2">
      <w:pPr>
        <w:pStyle w:val="ListParagraph"/>
        <w:numPr>
          <w:ilvl w:val="0"/>
          <w:numId w:val="4"/>
        </w:numPr>
      </w:pPr>
      <w:r w:rsidRPr="008605E8">
        <w:t>Ideal for scenarios where you need to store and query related items together</w:t>
      </w:r>
      <w:r>
        <w:t>.</w:t>
      </w:r>
      <w:r w:rsidR="00E5179D">
        <w:br w:type="page"/>
      </w:r>
    </w:p>
    <w:p w14:paraId="4D602AF7" w14:textId="15302CA3" w:rsidR="008605E8" w:rsidRPr="008605E8" w:rsidRDefault="008605E8" w:rsidP="008605E8">
      <w:pPr>
        <w:rPr>
          <w:b/>
          <w:bCs/>
        </w:rPr>
      </w:pPr>
      <w:r w:rsidRPr="008605E8">
        <w:rPr>
          <w:b/>
          <w:bCs/>
        </w:rPr>
        <w:lastRenderedPageBreak/>
        <w:t>Comparison</w:t>
      </w:r>
    </w:p>
    <w:p w14:paraId="7D5D1514" w14:textId="00FFF27A" w:rsidR="008605E8" w:rsidRPr="008605E8" w:rsidRDefault="008605E8" w:rsidP="008605E8">
      <w:pPr>
        <w:pStyle w:val="ListParagraph"/>
        <w:numPr>
          <w:ilvl w:val="0"/>
          <w:numId w:val="5"/>
        </w:numPr>
      </w:pPr>
      <w:r w:rsidRPr="008605E8">
        <w:t>GSIs offer the most flexibility as they can query across all partitions, while LSIs are limited to a single partition.</w:t>
      </w:r>
    </w:p>
    <w:p w14:paraId="211FB030" w14:textId="59F4A44D" w:rsidR="008605E8" w:rsidRPr="008605E8" w:rsidRDefault="008605E8" w:rsidP="008605E8">
      <w:pPr>
        <w:pStyle w:val="ListParagraph"/>
        <w:numPr>
          <w:ilvl w:val="0"/>
          <w:numId w:val="5"/>
        </w:numPr>
      </w:pPr>
      <w:r w:rsidRPr="008605E8">
        <w:t>LSIs have a size limitation of 10 GB per partition key, while GSIs do not have this restriction.</w:t>
      </w:r>
    </w:p>
    <w:p w14:paraId="3BFFE8C9" w14:textId="3AE14049" w:rsidR="00E551A6" w:rsidRDefault="008605E8" w:rsidP="00BA2388">
      <w:pPr>
        <w:pStyle w:val="ListParagraph"/>
        <w:numPr>
          <w:ilvl w:val="0"/>
          <w:numId w:val="5"/>
        </w:numPr>
      </w:pPr>
      <w:r w:rsidRPr="008605E8">
        <w:t>GSIs are better for global queries across the table, while LSIs are suited for more localized queries within a partition.</w:t>
      </w:r>
    </w:p>
    <w:p w14:paraId="30F77BAB" w14:textId="2377AC5C" w:rsidR="0065211C" w:rsidRDefault="0065211C" w:rsidP="0065211C">
      <w:pPr>
        <w:rPr>
          <w:rFonts w:hint="eastAsia"/>
          <w:b/>
          <w:bCs/>
          <w:lang w:eastAsia="ja-JP"/>
        </w:rPr>
      </w:pPr>
      <w:r w:rsidRPr="0065211C">
        <w:rPr>
          <w:rFonts w:hint="eastAsia"/>
          <w:b/>
          <w:bCs/>
        </w:rPr>
        <w:t>Develop</w:t>
      </w:r>
      <w:r>
        <w:rPr>
          <w:rFonts w:hint="eastAsia"/>
          <w:b/>
          <w:bCs/>
          <w:lang w:eastAsia="ja-JP"/>
        </w:rPr>
        <w:t>ment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b/>
          <w:bCs/>
          <w:lang w:eastAsia="ja-JP"/>
        </w:rPr>
        <w:t>notes</w:t>
      </w:r>
    </w:p>
    <w:p w14:paraId="647616FB" w14:textId="21468966" w:rsidR="0065211C" w:rsidRDefault="0065211C" w:rsidP="0065211C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rFonts w:hint="eastAsia"/>
          <w:lang w:eastAsia="ja-JP"/>
        </w:rPr>
        <w:t xml:space="preserve">During development it has been noticed that </w:t>
      </w:r>
      <w:r>
        <w:rPr>
          <w:lang w:eastAsia="ja-JP"/>
        </w:rPr>
        <w:t>choosing</w:t>
      </w:r>
      <w:r>
        <w:rPr>
          <w:rFonts w:hint="eastAsia"/>
          <w:lang w:eastAsia="ja-JP"/>
        </w:rPr>
        <w:t xml:space="preserve"> both partition and sort keys are vital when it comes to proper querying and filtering.</w:t>
      </w:r>
    </w:p>
    <w:p w14:paraId="38C02E95" w14:textId="77777777" w:rsidR="0065211C" w:rsidRDefault="0065211C" w:rsidP="0065211C">
      <w:pPr>
        <w:pStyle w:val="ListParagraph"/>
        <w:numPr>
          <w:ilvl w:val="1"/>
          <w:numId w:val="6"/>
        </w:numPr>
        <w:rPr>
          <w:lang w:eastAsia="ja-JP"/>
        </w:rPr>
      </w:pPr>
      <w:r>
        <w:rPr>
          <w:rFonts w:hint="eastAsia"/>
          <w:lang w:eastAsia="ja-JP"/>
        </w:rPr>
        <w:t xml:space="preserve">Using the </w:t>
      </w:r>
      <w:r w:rsidRPr="0065211C">
        <w:rPr>
          <w:rFonts w:ascii="Consolas" w:hAnsi="Consolas"/>
          <w:color w:val="0B769F" w:themeColor="accent4" w:themeShade="BF"/>
          <w:lang w:eastAsia="ja-JP"/>
        </w:rPr>
        <w:t>scan</w:t>
      </w:r>
      <w:r w:rsidRPr="0065211C">
        <w:rPr>
          <w:rFonts w:hint="eastAsia"/>
          <w:color w:val="0B769F" w:themeColor="accent4" w:themeShade="BF"/>
          <w:lang w:eastAsia="ja-JP"/>
        </w:rPr>
        <w:t xml:space="preserve"> </w:t>
      </w:r>
      <w:r>
        <w:rPr>
          <w:rFonts w:hint="eastAsia"/>
          <w:lang w:eastAsia="ja-JP"/>
        </w:rPr>
        <w:t>functionality is slower but allows easier retrieval of data with a less complex structure.</w:t>
      </w:r>
    </w:p>
    <w:p w14:paraId="241B1BBF" w14:textId="450294DF" w:rsidR="00E551A6" w:rsidRDefault="0065211C" w:rsidP="0065211C">
      <w:pPr>
        <w:pStyle w:val="ListParagraph"/>
        <w:numPr>
          <w:ilvl w:val="1"/>
          <w:numId w:val="6"/>
        </w:numPr>
        <w:rPr>
          <w:lang w:eastAsia="ja-JP"/>
        </w:rPr>
      </w:pPr>
      <w:r>
        <w:rPr>
          <w:rFonts w:hint="eastAsia"/>
          <w:lang w:eastAsia="ja-JP"/>
        </w:rPr>
        <w:t xml:space="preserve">Using the </w:t>
      </w:r>
      <w:r>
        <w:rPr>
          <w:rFonts w:ascii="Consolas" w:hAnsi="Consolas" w:hint="eastAsia"/>
          <w:color w:val="0B769F" w:themeColor="accent4" w:themeShade="BF"/>
          <w:lang w:eastAsia="ja-JP"/>
        </w:rPr>
        <w:t xml:space="preserve">query </w:t>
      </w:r>
      <w:r>
        <w:rPr>
          <w:rFonts w:hint="eastAsia"/>
          <w:lang w:eastAsia="ja-JP"/>
        </w:rPr>
        <w:t>and</w:t>
      </w:r>
      <w:r>
        <w:rPr>
          <w:rFonts w:ascii="Consolas" w:hAnsi="Consolas" w:hint="eastAsia"/>
          <w:color w:val="0B769F" w:themeColor="accent4" w:themeShade="BF"/>
          <w:lang w:eastAsia="ja-JP"/>
        </w:rPr>
        <w:t xml:space="preserve"> filter </w:t>
      </w:r>
      <w:r>
        <w:rPr>
          <w:rFonts w:hint="eastAsia"/>
          <w:lang w:eastAsia="ja-JP"/>
        </w:rPr>
        <w:t>allows faster retrieval of data within a complex structure.</w:t>
      </w:r>
    </w:p>
    <w:p w14:paraId="5A3C11EE" w14:textId="0DDCB5B3" w:rsidR="0065211C" w:rsidRDefault="0065211C" w:rsidP="0065211C">
      <w:pPr>
        <w:pStyle w:val="ListParagraph"/>
        <w:numPr>
          <w:ilvl w:val="0"/>
          <w:numId w:val="6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It has been noticed that having lots of LSIs provides a better way of filtering larger datasets.</w:t>
      </w:r>
    </w:p>
    <w:sectPr w:rsidR="0065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F2"/>
    <w:multiLevelType w:val="hybridMultilevel"/>
    <w:tmpl w:val="3F529B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731E"/>
    <w:multiLevelType w:val="hybridMultilevel"/>
    <w:tmpl w:val="D210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5DB9"/>
    <w:multiLevelType w:val="hybridMultilevel"/>
    <w:tmpl w:val="87949DF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C78A1"/>
    <w:multiLevelType w:val="hybridMultilevel"/>
    <w:tmpl w:val="19A04E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F3A7F"/>
    <w:multiLevelType w:val="hybridMultilevel"/>
    <w:tmpl w:val="AD923D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B53F0"/>
    <w:multiLevelType w:val="hybridMultilevel"/>
    <w:tmpl w:val="A6AEE9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61100"/>
    <w:multiLevelType w:val="hybridMultilevel"/>
    <w:tmpl w:val="C19E63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224BB"/>
    <w:multiLevelType w:val="hybridMultilevel"/>
    <w:tmpl w:val="941C8D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773C"/>
    <w:multiLevelType w:val="hybridMultilevel"/>
    <w:tmpl w:val="1B46BC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57292">
    <w:abstractNumId w:val="1"/>
  </w:num>
  <w:num w:numId="2" w16cid:durableId="1878078655">
    <w:abstractNumId w:val="2"/>
  </w:num>
  <w:num w:numId="3" w16cid:durableId="396124546">
    <w:abstractNumId w:val="3"/>
  </w:num>
  <w:num w:numId="4" w16cid:durableId="1322348394">
    <w:abstractNumId w:val="7"/>
  </w:num>
  <w:num w:numId="5" w16cid:durableId="251940884">
    <w:abstractNumId w:val="8"/>
  </w:num>
  <w:num w:numId="6" w16cid:durableId="1425027287">
    <w:abstractNumId w:val="6"/>
  </w:num>
  <w:num w:numId="7" w16cid:durableId="2051571176">
    <w:abstractNumId w:val="0"/>
  </w:num>
  <w:num w:numId="8" w16cid:durableId="227229598">
    <w:abstractNumId w:val="4"/>
  </w:num>
  <w:num w:numId="9" w16cid:durableId="799342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53"/>
    <w:rsid w:val="00032148"/>
    <w:rsid w:val="00033DB9"/>
    <w:rsid w:val="002541CF"/>
    <w:rsid w:val="003443D0"/>
    <w:rsid w:val="0035284D"/>
    <w:rsid w:val="00441353"/>
    <w:rsid w:val="004B243F"/>
    <w:rsid w:val="004B283C"/>
    <w:rsid w:val="00650BD5"/>
    <w:rsid w:val="0065211C"/>
    <w:rsid w:val="006546CA"/>
    <w:rsid w:val="006F3039"/>
    <w:rsid w:val="00731CB2"/>
    <w:rsid w:val="007500D5"/>
    <w:rsid w:val="0075243F"/>
    <w:rsid w:val="00846AF6"/>
    <w:rsid w:val="008605E8"/>
    <w:rsid w:val="00862FCB"/>
    <w:rsid w:val="00880373"/>
    <w:rsid w:val="008E3451"/>
    <w:rsid w:val="00905961"/>
    <w:rsid w:val="00926848"/>
    <w:rsid w:val="00957D03"/>
    <w:rsid w:val="009B0C8C"/>
    <w:rsid w:val="00A70552"/>
    <w:rsid w:val="00A90AC4"/>
    <w:rsid w:val="00B33320"/>
    <w:rsid w:val="00BA2388"/>
    <w:rsid w:val="00DA6B20"/>
    <w:rsid w:val="00DC6631"/>
    <w:rsid w:val="00E5179D"/>
    <w:rsid w:val="00E551A6"/>
    <w:rsid w:val="00EB1D59"/>
    <w:rsid w:val="00F0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5DA8"/>
  <w15:chartTrackingRefBased/>
  <w15:docId w15:val="{62C94CDF-BDD7-4EDC-85C7-E0BB65B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451"/>
  </w:style>
  <w:style w:type="paragraph" w:styleId="Heading1">
    <w:name w:val="heading 1"/>
    <w:basedOn w:val="Normal"/>
    <w:next w:val="Normal"/>
    <w:link w:val="Heading1Char"/>
    <w:uiPriority w:val="9"/>
    <w:qFormat/>
    <w:rsid w:val="00441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3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636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 Cosmin Sebastian</dc:creator>
  <cp:keywords/>
  <dc:description/>
  <cp:lastModifiedBy>Ninel-Valentin B.</cp:lastModifiedBy>
  <cp:revision>5</cp:revision>
  <dcterms:created xsi:type="dcterms:W3CDTF">2024-08-23T12:26:00Z</dcterms:created>
  <dcterms:modified xsi:type="dcterms:W3CDTF">2024-08-26T10:11:00Z</dcterms:modified>
</cp:coreProperties>
</file>