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sz w:val="48"/>
          <w:szCs w:val="48"/>
        </w:rP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aps/>
          <w:color w:val="1A5276"/>
          <w:sz w:val="36"/>
          <w:szCs w:val="36"/>
        </w:rPr>
        <w:t xml:space="preserve">OBSERVATORIO AMBIENTAL REGIONAL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717D7E"/>
          <w:sz w:val="24"/>
          <w:szCs w:val="24"/>
        </w:rPr>
        <w:t xml:space="preserve">Centroamérica y República Dominicana</w:t>
      </w:r>
    </w:p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pBdr>
          <w:top w:val="single" w:color="1E8449" w:sz="4"/>
          <w:bottom w:val="single" w:color="1E8449" w:sz="4"/>
        </w:pBdr>
        <w:shd w:fill="1A5276" w:val="clear"/>
        <w:spacing w:after="60" w:before="0"/>
        <w:jc w:val="center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Marco de Gobernanza, Arquitectura y Stack Tecnológico  </w:t>
      </w:r>
    </w:p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spacing w:after="20" w:before="0"/>
        <w:jc w:val="center"/>
      </w:pPr>
      <w:r>
        <w:rPr>
          <w:rFonts w:ascii="Arial" w:cs="Arial" w:eastAsia="Arial" w:hAnsi="Arial"/>
          <w:color w:val="717D7E"/>
          <w:sz w:val="20"/>
          <w:szCs w:val="20"/>
        </w:rPr>
        <w:t xml:space="preserve">CCAD · AECID · ERAM  |  Abril, 2026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717D7E"/>
          <w:sz w:val="19"/>
          <w:szCs w:val="19"/>
        </w:rPr>
        <w:t xml:space="preserve">Consultor: Patricio Emanuelli · patricio.emanuelli@gmail.com</w:t>
      </w:r>
    </w:p>
    <w:p>
      <w:pPr>
        <w:spacing w:after="0" w:before="0"/>
      </w:pPr>
      <w:r>
        <w:rPr>
          <w:sz w:val="36"/>
          <w:szCs w:val="3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Propósito de este documento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Este documento define tres dimensiones fundacionales del OAR que deben resolverse en este orden: primero la gobernanza (quién usa y administra el sistema), luego la arquitectura (qué componentes y cómo se conectan), y finalmente el stack tecnológico (qué herramientas concretas se usan). Invertir este orden es el error más común en proyectos de plataformas de datos.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p>
      <w:r>
        <w:br w:type="page"/>
      </w:r>
    </w:p>
    <w:p>
      <w:pPr>
        <w:pBdr>
          <w:bottom w:val="thick" w:color="1E8449" w:sz="6"/>
        </w:pBdr>
        <w:spacing w:after="0" w:before="480"/>
      </w:pPr>
      <w:r>
        <w:rPr>
          <w:rFonts w:ascii="Arial" w:cs="Arial" w:eastAsia="Arial" w:hAnsi="Arial"/>
          <w:b/>
          <w:bCs/>
          <w:color w:val="1E8449"/>
          <w:sz w:val="44"/>
          <w:szCs w:val="44"/>
        </w:rPr>
        <w:t xml:space="preserve">1  </w:t>
      </w:r>
      <w:r>
        <w:rPr>
          <w:rFonts w:ascii="Arial" w:cs="Arial" w:eastAsia="Arial" w:hAnsi="Arial"/>
          <w:b/>
          <w:bCs/>
          <w:caps/>
          <w:color w:val="1A5276"/>
          <w:sz w:val="30"/>
          <w:szCs w:val="30"/>
        </w:rPr>
        <w:t xml:space="preserve">CÓMO SE ADMINISTRA EL SISTEMA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La gobernanza define quién hace qué dentro del OAR. Sin claridad en roles, accesos y flujos de responsabilidad, cualquier decisión técnica posterior queda sin sustento institucional.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pBdr>
          <w:bottom w:val="single" w:color="2E86C1" w:sz="2"/>
        </w:pBdr>
        <w:spacing w:after="120" w:before="3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1.1  Actores del sistema</w:t>
      </w:r>
    </w:p>
    <w:p>
      <w:pPr>
        <w:spacing w:after="8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Se identifican cuatro perfiles de usuario con distintos niveles de acceso y responsabilidad: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6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Perfil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Quién 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Qué puede hacer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Nivel de acceso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Público general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Ciudadanía, academia, medios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Consultar geovisor, dashboards y Centro de Documentación. Sin login requerido.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Solo lectura — datos públicos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Técnico institucional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Puntos focales TI de los 8 países SICA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Subir capas nacionales, validar datos, exportar reportes. Acceso vía Keycloak institucional.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Lectura + carga de datos propios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Administrador OAR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Equipo técnico CCAD / DTI-SICA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Gestionar usuarios, configurar módulos, ejecutar pipelines ETL, actualizar capas regionales.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Acceso completo — backend incluido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Desarrollador externo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Equipos técnicos que consumen la API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Acceder al Portal de Desarrolladores y endpoints públicos documentados (API key requerida).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Lectura + API versionada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pStyle w:val="Heading2"/>
        <w:pBdr>
          <w:bottom w:val="single" w:color="2E86C1" w:sz="2"/>
        </w:pBdr>
        <w:spacing w:after="120" w:before="3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1.2  Quién mantiene el sistema</w:t>
      </w:r>
    </w:p>
    <w:p>
      <w:pPr>
        <w:spacing w:after="8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Para que el OAR opere de forma continua desde la Fase 1, se requiere un equipo mínimo de tres perfiles técnicos: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Administrador de sistemas (1 persona): operación diaria del servidor, monitoreo, backups y actualizaciones. Perfil: Linux, Docker, PostgreSQL.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Desarrollador frontend/fullstack (1 persona): mantenimiento de módulos React, corrección de errores, integración de nuevas fuentes de datos. Perfil: React, APIs REST, Git.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Especialista geoespacial (1 persona): armonización de capas, validación de datos nacionales, configuración de GeoServer. Perfil: Python, GeoPandas, QGIS.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En Fase 2 se recomienda contratar soporte técnico externo para incidentes críticos (P1/P2) y actualizaciones mayores de infraestructura.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pBdr>
          <w:bottom w:val="single" w:color="2E86C1" w:sz="2"/>
        </w:pBdr>
        <w:spacing w:after="120" w:before="3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1.3  Seguridad y control de acceso</w:t>
      </w:r>
    </w:p>
    <w:p>
      <w:pPr>
        <w:spacing w:after="8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La seguridad se implementa en capas, desde el perímetro hasta los datos almacenados: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Mecanismo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Herramienta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Perímetro web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CDN con protección DDoS, WAF básico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Cloudflare (plan gratuito en F1)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Autenticación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OAuth2 / OIDC con roles por perfil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Keycloak (open-source, on-premise)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Tránsito de datos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Cifrado TLS 1.3 obligatorio en todos los servicios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Certificados vía Let's Encrypt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Datos en reposo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Cifrado AES-256 en PostgreSQL, MongoDB y MinIO/S3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Configuración nativa de cada servicio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Gestión de secretos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Credenciales nunca en código fuente ni cliente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HashiCorp Vault o AWS Secrets Manager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Auditoría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Registro de todas las acciones de modificación y acceso sensible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Módulo de trazabilidad (Fase 3)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Pruebas de seguridad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Penetration testing anual en Fase 2 y 3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Contrato con empresa especializada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Principio de mínimo privilegio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Cada servicio y cada usuario accede únicamente a los recursos que necesita. Las claves de APIs externas se guardan en el backend; nunca se exponen al cliente.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pStyle w:val="Heading2"/>
        <w:pBdr>
          <w:bottom w:val="single" w:color="2E86C1" w:sz="2"/>
        </w:pBdr>
        <w:spacing w:after="120" w:before="3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1.4  Flujo de datos: quién crea, quién valida, quién publica</w:t>
      </w:r>
    </w:p>
    <w:p>
      <w:pPr>
        <w:spacing w:after="8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El ciclo de vida de un dato en el OAR sigue cuatro etapas secuenciales: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3200"/>
        <w:gridCol w:w="33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Etapa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Quién actúa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Qué ocurre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Herramienta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Fuente nacional / API externa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El dato ingresa: carga manual por técnico institucional o ingesta automática desde API (NASA, GBIF, Open-Meteo).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Portal de carga / Apache Airflow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Especialista geoespacial CCAD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Validación técnica: proyección, geometría, completitud, coherencia con datos históricos. El dato queda en estado 'borrador'.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QGIS + Python + PostGIS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Administrador OAR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Aprobación y publicación: la capa validada se publica en GeoServer y queda disponible en el geovisor y la API.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Panel de administración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Sistema automático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Monitoreo continuo: alertas si el dato deja de actualizarse en el plazo esperado o si los valores se salen del rango histórico.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Prometheus + Grafana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pBdr>
          <w:bottom w:val="single" w:color="2E86C1" w:sz="2"/>
        </w:pBdr>
        <w:spacing w:after="120" w:before="3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1.5  Gobernanza de datos regionales</w:t>
      </w:r>
    </w:p>
    <w:p>
      <w:pPr>
        <w:spacing w:after="8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Dado que el OAR integra datos de 8 países con marcos jurídicos distintos, se deben establecer antes de la Fase 2: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Protocolo Regional de Datos: acuerdo formal entre países SICA sobre condiciones de uso, licencias, atribución y restricciones.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Clasificación de acceso en tres niveles: público (sin login), técnico institucional (login SICA), administrador (solo equipo OAR).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Metadatos normalizados: cada capa debe acompañarse de ficha en formato ISO 19115, accesible desde el Portal de Desarrolladores.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Datos sensibles: los países que no quieran exponer datos directamente solo comparten agregados estadísticos vía WFS filtrados.</w:t>
      </w:r>
    </w:p>
    <w:p>
      <w:pPr>
        <w:spacing w:after="0" w:before="0"/>
      </w:pPr>
      <w:r>
        <w:rPr>
          <w:sz w:val="24"/>
          <w:szCs w:val="24"/>
        </w:rPr>
        <w:t xml:space="preserve"/>
      </w:r>
    </w:p>
    <w:p>
      <w:r>
        <w:br w:type="page"/>
      </w:r>
    </w:p>
    <w:p>
      <w:pPr>
        <w:pBdr>
          <w:bottom w:val="thick" w:color="1E8449" w:sz="6"/>
        </w:pBdr>
        <w:spacing w:after="0" w:before="480"/>
      </w:pPr>
      <w:r>
        <w:rPr>
          <w:rFonts w:ascii="Arial" w:cs="Arial" w:eastAsia="Arial" w:hAnsi="Arial"/>
          <w:b/>
          <w:bCs/>
          <w:color w:val="1E8449"/>
          <w:sz w:val="44"/>
          <w:szCs w:val="44"/>
        </w:rPr>
        <w:t xml:space="preserve">2  </w:t>
      </w:r>
      <w:r>
        <w:rPr>
          <w:rFonts w:ascii="Arial" w:cs="Arial" w:eastAsia="Arial" w:hAnsi="Arial"/>
          <w:b/>
          <w:bCs/>
          <w:caps/>
          <w:color w:val="1A5276"/>
          <w:sz w:val="30"/>
          <w:szCs w:val="30"/>
        </w:rPr>
        <w:t xml:space="preserve">ARQUITECTURA LÓGICA Y FÍSICA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La arquitectura traduce la gobernanza en una estructura técnica: qué componentes existen, cómo se comunican y dónde viven. Todo lo definido en la Sección 1 determina decisiones de aquí.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pBdr>
          <w:bottom w:val="single" w:color="2E86C1" w:sz="2"/>
        </w:pBdr>
        <w:spacing w:after="120" w:before="3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2.1  Principios de arquitectura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Separación en tres capas: presentación (frontend), servicios (API + procesamiento), datos (bases de datos + almacenamiento). Cada capa es independiente y escalable.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Interoperabilidad como condición estructural: todos los servicios de datos se exponen mediante estándares OGC (WMS, WFS, WCS) y REST/JSON.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Consumo dinámico de fuentes externas para datos de alta frecuencia (incendios, clima, biodiversidad). Capas armonizadas propias para datos de referencia regional.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Precómputo en batch: los indicadores más consultados se calculan periódicamente y se almacenan en caché (Redis), no en tiempo de consulta.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pBdr>
          <w:bottom w:val="single" w:color="2E86C1" w:sz="2"/>
        </w:pBdr>
        <w:spacing w:after="120" w:before="3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2.2  Componentes por capa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Capa de acceso y entrega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Cloudflare CDN: caché de activos estáticos, proxy inverso, protección DDoS. Gratuito en Fase 1.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Balanceador de carga (Nginx o AWS ALB): distribuye tráfico entre réplicas del frontend y la API.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Capa de presentación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Single Page Application (SPA) con React 18 + TypeScript. Servida como archivos estáticos desde el CDN.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Geovisor interactivo (Leaflet.js), dashboards (Recharts / D3.js), cliente del Asistente IA.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Navegación cliente-side para máxima fluidez. Sin recarga de página entre módulos.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Capa de servicios y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API REST versionada (v1, v2) en FastAPI (Python) o Express (Node.js).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Dominios funcionales: /geo (capas espaciales), /indicators (monitoreo ERAM), /documents (Centro Docs), /alerts (tiempo real), /ai (asistente).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GeoServer como servidor de mapas independiente: expone WMS y WFS al geovisor y a sistemas externos.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Apache Airflow para pipelines ETL automatizados (actualización programada de fuentes externas). Se activa en Fase 2.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Cola de mensajes (Redis Streams o RabbitMQ) para el módulo de alertas en tiempo real. Se activa en Fase 2.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Capa de datos y persistencia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PostgreSQL 15+ con PostGIS: datos geoespaciales relacionales (límites administrativos, áreas protegidas, indicadores ERAM).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Redis: caché en memoria para resultados precalculados de dashboards de alta demanda.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MongoDB: fichas metodológicas, metadatos de indicadores, documentos del Centro de Documentación.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MinIO o AWS S3: almacenamiento de objetos para capas GeoJSON, tiles raster, documentos PDF.</w:t>
      </w:r>
    </w:p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pStyle w:val="Heading2"/>
        <w:pBdr>
          <w:bottom w:val="single" w:color="2E86C1" w:sz="2"/>
        </w:pBdr>
        <w:spacing w:after="120" w:before="3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2.3  Evolución de la arquitectura por fase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720"/>
        <w:gridCol w:w="2720"/>
        <w:gridCol w:w="272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 1 (0–6 meses)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 2 (6–18 meses)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 3 (18–36 meses)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Despliegue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Docker Compose en 1 VM (2–4 vCPU / 8 GB RAM)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Clúster de 3 nodos con balanceo de carga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Kubernetes con autoescalado horizontal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API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REST básica, FastAPI o Express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API versionada + Portal de Desarrolladores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API v2 + SSO SICA + auditoría completa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Datos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PostgreSQL + PostGIS + Redis básico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+ MongoDB + MinIO + pipeline ETL (Airflow)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+ Data lake + series históricas largas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IA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No activa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Asistente IA vía API externa (Claude/OpenAI)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Modelo LLM local (LLaMA/Mistral) on-premise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Seguridad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Keycloak + TLS + Cloudflare gratuito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+ Pruebas de penetración + Vault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+ Auditoría trazable + certificación WCAG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Costo estimado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US$215–440/mes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US$870–1.480/mes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US$1.950–3.580/mes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pStyle w:val="Heading2"/>
        <w:pBdr>
          <w:bottom w:val="single" w:color="2E86C1" w:sz="2"/>
        </w:pBdr>
        <w:spacing w:after="120" w:before="3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2.4  Modalidad de despliegue físico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2360"/>
        <w:gridCol w:w="24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Modalidad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Ventajas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Desafíos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Recomendada para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Cloud pública (AWS / GCP / Azure)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Escalado inmediato, alta disponibilidad gestionada, sin gestión de hardware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Costo recurrente, dependencia de proveedor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Fase 1 y 2 — inicio rápido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On-premise (DTI-SICA)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Soberanía total de datos, costo predecible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Requiere inversión en hardware y gestión interna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Fase 3 si DTI tiene capacidad disponible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Híbrido (cloud + on-premise)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Datos sensibles on-premise, servicios escalables en nube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Mayor complejidad de red y sincronización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Modelo ideal de largo plazo (Fase 3)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Recomendación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Iniciar en nube pública en Fase 1 para ganar velocidad de despliegue y aprendizaje operativo. Evaluar migración a modelo híbrido en el mes 12.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p>
      <w:r>
        <w:br w:type="page"/>
      </w:r>
    </w:p>
    <w:p>
      <w:pPr>
        <w:pBdr>
          <w:bottom w:val="thick" w:color="1E8449" w:sz="6"/>
        </w:pBdr>
        <w:spacing w:after="0" w:before="480"/>
      </w:pPr>
      <w:r>
        <w:rPr>
          <w:rFonts w:ascii="Arial" w:cs="Arial" w:eastAsia="Arial" w:hAnsi="Arial"/>
          <w:b/>
          <w:bCs/>
          <w:color w:val="1E8449"/>
          <w:sz w:val="44"/>
          <w:szCs w:val="44"/>
        </w:rPr>
        <w:t xml:space="preserve">3  </w:t>
      </w:r>
      <w:r>
        <w:rPr>
          <w:rFonts w:ascii="Arial" w:cs="Arial" w:eastAsia="Arial" w:hAnsi="Arial"/>
          <w:b/>
          <w:bCs/>
          <w:caps/>
          <w:color w:val="1A5276"/>
          <w:sz w:val="30"/>
          <w:szCs w:val="30"/>
        </w:rPr>
        <w:t xml:space="preserve">STACK TECNOLÓGICO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Recién aquí se eligen las herramientas concretas. La selección responde a cuatro criterios: (1) código abierto para soberanía regional, (2) compatibilidad con el prototipo ya construido, (3) idoneidad para datos geoespaciales y series temporales, y (4) capacidad de escalar sin migraciones traumáticas.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Error frecuente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Elegir el stack tecnológico antes de definir la gobernanza y la arquitectura lleva a herramientas inadecuadas para los flujos reales de uso, equipos sin capacidad de mantenerlas, o cambios costosos al escalar.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pStyle w:val="Heading2"/>
        <w:pBdr>
          <w:bottom w:val="single" w:color="2E86C1" w:sz="2"/>
        </w:pBdr>
        <w:spacing w:after="120" w:before="3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3.1  Stack por capa del sistema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1800"/>
        <w:gridCol w:w="3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Capa / Componente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Tecnología recomendada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Alternativa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Justificación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Frontend SPA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React 18 + TypeScript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Vue 3 / Svelte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Ecosistema maduro; ya usado en el prototipo. Componentes reutilizables para dashboards y geovisores.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Visualización tabular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Recharts / D3.js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ECharts / Plotly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Flexibilidad para series temporales, treemaps, radiales y burbujas. Ya integrado en la POC.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Geovisor y mapas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Leaflet.js + GeoJSON + Turf.js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Maplibre GL / OpenLayers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Leaflet demostrado en la POC. Turf.js para cálculos espaciales en cliente. Maplibre si se requiere renderizado vectorial de alto rendimiento.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Backend / API REST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Python (FastAPI) o Node.js (Express)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Django REST / Nest.js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FastAPI por rendimiento en análisis geoespacial con GeoPandas; Node.js si se prioriza homogeneidad JS.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Procesamiento geoespacial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Python + GeoPandas + Shapely + Fiona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PostGIS (SQL espacial)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Stack estándar para armonización de capas, reproyección, intersección y cálculo de superficies.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Base de datos relacional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PostgreSQL 15+ con PostGIS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MySQL / MariaDB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PostGIS es la extensión espacial más completa; soporta consultas geométricas complejas en SQL.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Caché y documentos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Redis (caché) + MongoDB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Elasticsearch / DynamoDB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Redis para precómputo de dashboards. MongoDB para fichas metodológicas y metadatos semiestructurados.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Almacenamiento de objetos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MinIO (S3-compatible) o AWS S3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Azure Blob / GCS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MinIO on-premise para soberanía de datos. S3 si se opta por nube pública.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Tiles / servicios de mapas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GeoServer + WMS/WFS + PMTiles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MapServer / Martin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GeoServer para servicios OGC estándar. PMTiles para tiles estáticos sin servidor.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Autenticación y acceso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Keycloak (OAuth2 / OIDC)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Auth0 / Cognito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Open-source, desplegable on-premise, compatible con el ecosistema institucional del SICA.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Asistente IA (chatbot)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Claude API (Anthropic) / OpenAI 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LLaMA 3 local / Mistral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APIs externas para prototipo rápido. Modelo local en Fase 3 para soberanía de datos.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Contenedores y CI/CD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Docker + Docker Compose → Kubernetes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Podman / Nomad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Docker en desarrollo; Kubernetes en producción para escalabilidad y alta disponibilidad.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CDN y entrega estática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Cloudflare CDN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BunnyCDN / Fastly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Cloudflare gratuito para tráfico moderado. Mejora tiempos de carga en toda la región SICA.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Monitoreo / observabilidad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Prometheus + Grafana + Loki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Datadog / New Relic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Stack open-source. Dashboards de disponibilidad, latencia y uso por módulo.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Pipelines ETL (Fase 2)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Apache Airflow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Prefect / Dagster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Orquestación de tareas programadas para ingesta automática de fuentes externas.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Backups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Restic + S3 offsite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Velero (K8s) / Barman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Backups incrementales encriptados con retención configurable por política de la CCAD.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pStyle w:val="Heading2"/>
        <w:pBdr>
          <w:bottom w:val="single" w:color="2E86C1" w:sz="2"/>
        </w:pBdr>
        <w:spacing w:after="120" w:before="3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3.2  Criterios de selección tecnológica</w:t>
      </w:r>
    </w:p>
    <w:p>
      <w:pPr>
        <w:spacing w:after="8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Las herramientas listadas no son la única opción válida. Toda selección final debe validarse con el equipo técnico de la DTI-SICA considerando: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Código abierto preferido: evita dependencias de proveedor y garantiza continuidad institucional sin costo de licencias.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Compatibilidad con el prototipo: reducir el riesgo de reescritura manteniendo las tecnologías ya demostradas en la POC.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Capacidades existentes del equipo: una herramienta mejor en papel pero desconocida para el equipo técnico disponible es un riesgo real.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Comunidad activa y documentación: tecnologías con ecosistemas maduros tienen más soporte para resolver problemas específicos de análisis ambiental.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Estándares OGC como condición innegociable: cualquier alternativa de servidor de mapas o base de datos espacial debe ser compatible con WMS, WFS y WCS.</w:t>
      </w:r>
    </w:p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pStyle w:val="Heading2"/>
        <w:pBdr>
          <w:bottom w:val="single" w:color="2E86C1" w:sz="2"/>
        </w:pBdr>
        <w:spacing w:after="120" w:before="3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3.3  Lo que no está en el stack (y por qué)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Tecnología descartada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Razón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Alternativa adoptada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ArcGIS / Esri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Licencias comerciales costosas, dependencia de proveedor, incompatibilidad con soberanía institucional.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GeoServer + PostGIS + Python geoespacial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Oracle Database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Costo de licencias elevado, no se justifica para el volumen actual ni proyectado.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PostgreSQL 15+ con PostGIS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Power BI / Tableau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Licencias SaaS, datos salen de la infraestructura SICA, sin soporte nativo de mapas OGC.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Recharts + D3.js en React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WordPress / CMS genérico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No es apto para plataformas de datos geoespaciales ni para integración de APIs complejas.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SPA React con CMS headless en Fase 3</w:t>
            </w:r>
          </w:p>
        </w:tc>
      </w:tr>
    </w:tbl>
    <w:p>
      <w:pPr>
        <w:spacing w:after="0" w:before="0"/>
      </w:pPr>
      <w:r>
        <w:rPr>
          <w:sz w:val="36"/>
          <w:szCs w:val="36"/>
        </w:rPr>
        <w:t xml:space="preserve"/>
      </w:r>
    </w:p>
    <w:p>
      <w:r>
        <w:br w:type="page"/>
      </w:r>
    </w:p>
    <w:p>
      <w:pPr>
        <w:pBdr>
          <w:bottom w:val="thick" w:color="1E8449" w:sz="6"/>
        </w:pBdr>
        <w:spacing w:after="0" w:before="480"/>
      </w:pPr>
      <w:r>
        <w:rPr>
          <w:rFonts w:ascii="Arial" w:cs="Arial" w:eastAsia="Arial" w:hAnsi="Arial"/>
          <w:b/>
          <w:bCs/>
          <w:color w:val="1E8449"/>
          <w:sz w:val="44"/>
          <w:szCs w:val="44"/>
        </w:rPr>
        <w:t xml:space="preserve">4  </w:t>
      </w:r>
      <w:r>
        <w:rPr>
          <w:rFonts w:ascii="Arial" w:cs="Arial" w:eastAsia="Arial" w:hAnsi="Arial"/>
          <w:b/>
          <w:bCs/>
          <w:caps/>
          <w:color w:val="1A5276"/>
          <w:sz w:val="30"/>
          <w:szCs w:val="30"/>
        </w:rPr>
        <w:t xml:space="preserve">STACK DE PROFESIONALES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Así como el stack tecnológico define las herramientas del sistema, el stack de profesionales define las personas necesarias para construirlo, operarlo y evolucionar. Ambos stacks deben diseñarse en paralelo: elegir tecnologías que el equipo disponible no puede mantener es tan problemático como no tener equipo suficiente para operar una infraestructura correctamente diseñada.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pBdr>
          <w:bottom w:val="single" w:color="2E86C1" w:sz="2"/>
        </w:pBdr>
        <w:spacing w:after="120" w:before="3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4.1  Roles por fase de implementación</w:t>
      </w:r>
    </w:p>
    <w:p>
      <w:pPr>
        <w:spacing w:after="8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Las necesidades de personal evolucionan con el sistema. La siguiente tabla describe el equipo requerido en cada fase, con dedicación estimada y perfil técnico mínimo: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2400"/>
        <w:gridCol w:w="3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Dedicación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Perfil técnico mínimo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Administrador de sistemas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1, 2, 3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50% en F1 → 100% en F2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Linux (Ubuntu/Debian), Docker, Docker Compose, Nginx, PostgreSQL, Bash scripting, monitoreo con Prometheus/Grafana.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Desarrollador frontend / fullstack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1, 2, 3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50% en F1 → 100% en F2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React 18, TypeScript, Leaflet.js, D3.js / Recharts, REST APIs, Git. Deseable: Node.js o Python básico.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Especialista geoespacial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1, 2, 3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50% en F1 → 100% en F2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Python (GeoPandas, Shapely, Fiona), QGIS, GeoServer, PostGIS, formatos OGC (WMS, WFS, GeoJSON, GeoTIFF).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Ingeniero de datos / ETL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2, 3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100% desde F2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Apache Airflow, Python, SQL avanzado, APIs REST (consumo), integración de fuentes externas (NASA, GBIF, WDPA). Deseable: experiencia en datos ambientales.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Desarrollador backend / API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2, 3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100% desde F2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FastAPI o Express, diseño de APIs REST versionadas, autenticación OAuth2 / Keycloak, documentación OpenAPI 3.0.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Coordinador técnico / Product owner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2, 3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100% desde F2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No requiere perfil de programación, pero sí comprensión de arquitecturas de datos, gestión de proyectos TI, y capacidad para articular con puntos focales de los 8 países SICA.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Ingeniero ML / 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100% desde F3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Python (scikit-learn, PyTorch o TensorFlow), series temporales, detección de anomalías, integración de LLMs (API o modelos locales como LLaMA / Mistral). Deseable: experiencia en datos ambientales o geoespaciales.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Especialista en seguridad / DevSecOps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50% en F3 (puede ser externo)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Auditorías de seguridad, gestión de secretos (Vault), pruebas de penetración, políticas de acceso mínimo, cumplimiento normativo regional.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pStyle w:val="Heading2"/>
        <w:pBdr>
          <w:bottom w:val="single" w:color="2E86C1" w:sz="2"/>
        </w:pBdr>
        <w:spacing w:after="120" w:before="3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4.2  Equipo mínimo viable por fase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Equipo mínimo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Observación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Fase 1
(Meses 1–6)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3 personas: administrador de sistemas + desarrollador frontend + especialista geoespacial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Pueden ser de dedicación parcial (50%) si el sistema ya tiene una base funcional del prototipo. El riesgo de operar con menos de 3 personas en esta fase es alto.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Fase 2
(Meses 7–18)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5–6 personas: equipo F1 a tiempo completo + ingeniero de datos + desarrollador backend + coordinador técnico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Es la fase de mayor demanda de personal. La integración de múltiples fuentes externas y el lanzamiento del Asistente IA requieren capacidad técnica simultánea en varias especialidades.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Fase 3
(Meses 19–36)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7–8 personas: equipo F2 + ingeniero ML/IA + especialista en seguridad (puede ser externo)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En Fase 3 parte del equipo puede rotar hacia roles de soporte y capacitación regional, liberando capacidad para los nuevos componentes de IA y gobernanza.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pStyle w:val="Heading2"/>
        <w:pBdr>
          <w:bottom w:val="single" w:color="2E86C1" w:sz="2"/>
        </w:pBdr>
        <w:spacing w:after="120" w:before="3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4.3  Modalidades de contratación recomendadas</w:t>
      </w:r>
    </w:p>
    <w:p>
      <w:pPr>
        <w:spacing w:after="8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No todos los roles deben ser personal permanente de la CCAD. Se propone una combinación de modalidades según criticidad y frecuencia de la función: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Modalidad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Roles sugeridos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Ventajas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Planta permanente (CCAD o DTI-SICA)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Administrador de sistemas, coordinador técnico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Continuidad institucional, conocimiento acumulado, respuesta inmediata a incidentes críticos.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Contrato por proyecto (consultores)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Desarrollador frontend, ingeniero de datos, especialista geoespacial en F1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Flexibilidad presupuestaria. Útil en fases de construcción intensiva donde la carga baja una vez el sistema está estable.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Consultoría recurrente / soporte externo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Ingeniero ML/IA, especialista en seguridad, DevOps avanzado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Acceso a expertise especializado sin costo de planta. Recomendado para funciones de alta especialización con baja frecuencia.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Puntos focales TI nacionales (voluntarios institucionales)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Técnicos de los 8 países SICA para carga y validación de datos nacionales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No tienen costo directo para la CCAD. Requieren capacitación y un protocolo claro de responsabilidades.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pStyle w:val="Heading2"/>
        <w:pBdr>
          <w:bottom w:val="single" w:color="2E86C1" w:sz="2"/>
        </w:pBdr>
        <w:spacing w:after="120" w:before="3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4.4  Capacitación y transferencia de conocimiento</w:t>
      </w:r>
    </w:p>
    <w:p>
      <w:pPr>
        <w:spacing w:after="8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El stack de profesionales solo funciona si el conocimiento se transfiere y acumula dentro de la institución. Se recomiendan las siguientes acciones: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Documentación técnica interna obligatoria: cada componente del sistema debe tener un runbook (guía de operación) accesible para el equipo, no solo para quien lo construyó.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Programa de capacitación regional: talleres anuales con puntos focales TI de los 8 países SICA, enfocados en consumo de APIs, carga de capas nacionales y lectura del geovisor.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Transferencia entre fases: antes del cierre de cada fase, el consultor externo o contratista debe realizar sesiones de traspaso con el equipo permanente. No hay entrega sin transferencia documentada.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Redundancia de conocimiento crítico: al menos dos personas deben conocer los procedimientos de backup, restauración y actualización del servidor. La dependencia de una sola persona es el riesgo operativo más frecuente en sistemas de este tipo.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Riesgo principal del stack de profesionales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El mayor riesgo no es técnico sino institucional: que el conocimiento quede concentrado en consultores externos que terminan su contrato y no hay transferencia efectiva al equipo permanente. Mitigar esto desde la Fase 1 es tan prioritario como desplegar el servidor.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pStyle w:val="Heading2"/>
        <w:pBdr>
          <w:bottom w:val="single" w:color="2E86C1" w:sz="2"/>
        </w:pBdr>
        <w:spacing w:after="120" w:before="3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4.5  Resumen: stack tecnológico y profesional alineados</w:t>
      </w:r>
    </w:p>
    <w:p>
      <w:pPr>
        <w:spacing w:after="8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La siguiente tabla muestra la correspondencia directa entre cada capa del stack tecnológico y el perfil profesional responsable de mantenerla: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Capa del sistema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Tecnología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Profesional responsable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Infraestructura y servidores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Docker, Nginx, PostgreSQL, Redis, Prometheus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Administrador de sistemas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Frontend y visualización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React 18, Leaflet.js, Recharts, D3.js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Desarrollador frontend / fullstack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Backend y API REST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FastAPI / Express, Keycloak, OpenAPI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Desarrollador backend / API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Datos geoespaciales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PostGIS, GeoServer, GeoPandas, QGIS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Especialista geoespacial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Pipelines ETL y fuentes externas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Apache Airflow, APIs NASA / GBIF / WDPA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Ingeniero de datos / ETL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Asistente IA y modelos ML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Claude API / LLaMA, scikit-learn, PyTorch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Ingeniero ML / IA (Fase 3)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Seguridad y auditoría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Vault, TLS, Keycloak, pruebas de penetración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Especialista en seguridad / DevSecOps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Coordinación regional y gobernanza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Portal de desarrolladores, protocolo de datos, talleres SICA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Coordinador técnico / Product owner</w:t>
            </w:r>
          </w:p>
        </w:tc>
      </w:tr>
    </w:tbl>
    <w:p>
      <w:pPr>
        <w:spacing w:after="0" w:before="0"/>
      </w:pPr>
      <w:r>
        <w:rPr>
          <w:sz w:val="36"/>
          <w:szCs w:val="36"/>
        </w:rPr>
        <w:t xml:space="preserve"/>
      </w:r>
    </w:p>
    <w:p>
      <w:pPr>
        <w:pBdr>
          <w:top w:val="single" w:color="1E8449" w:sz="4"/>
        </w:pBdr>
        <w:spacing w:after="60" w:before="200"/>
        <w:jc w:val="center"/>
      </w:pPr>
      <w:r>
        <w:rPr>
          <w:rFonts w:ascii="Arial" w:cs="Arial" w:eastAsia="Arial" w:hAnsi="Arial"/>
          <w:color w:val="717D7E"/>
          <w:sz w:val="16"/>
          <w:szCs w:val="16"/>
        </w:rPr>
        <w:t xml:space="preserve">Patricio Emanuelli  ·  Ingeniero Forestal  ·  patricio.emanuelli@gmail.com  ·  Consultoría OAR – CCAD / AECID / ERAM  ·  Abril, 2026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560" w:hanging="280"/>
      </w:pPr>
    </w:lvl>
    <w:lvl w:ilvl="1" w15:tentative="1">
      <w:start w:val="1"/>
      <w:numFmt w:val="bullet"/>
      <w:lvlText w:val="○"/>
      <w:lvlJc w:val="left"/>
      <w:pPr>
        <w:ind w:left="10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2026-04-12T23:28:18.709Z</dcterms:created>
  <dcterms:modified xsi:type="dcterms:W3CDTF">2026-04-12T23:28:18.709Z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