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127492" w14:textId="77777777" w:rsidR="00AA3ED8" w:rsidRDefault="00AA3ED8">
      <w:r>
        <w:t>Florence</w:t>
      </w:r>
    </w:p>
    <w:p w14:paraId="74127493" w14:textId="77777777" w:rsidR="00AA3ED8" w:rsidRDefault="00AA3ED8">
      <w:r>
        <w:t xml:space="preserve">Le touriste néophyte se jette généralement au </w:t>
      </w:r>
      <w:proofErr w:type="spellStart"/>
      <w:r>
        <w:t>coeur</w:t>
      </w:r>
      <w:proofErr w:type="spellEnd"/>
      <w:r>
        <w:t xml:space="preserve"> de la mêlée. Ceux qui connaissent la région préfèrent aborder Florence et ses trésors après avoir fait étape à Fiesole ou dans une autre ville des hauteurs avoisinantes. Malgré la magnificence de ses monuments et de ses musées, la ville, en particulier en plein été, se prête moins à la flânerie que Venise.</w:t>
      </w:r>
    </w:p>
    <w:p w14:paraId="74127494" w14:textId="77777777" w:rsidR="00AA3ED8" w:rsidRDefault="00AA3ED8">
      <w:r>
        <w:t xml:space="preserve">Nous avons réparti le </w:t>
      </w:r>
      <w:proofErr w:type="spellStart"/>
      <w:r>
        <w:t>coeur</w:t>
      </w:r>
      <w:proofErr w:type="spellEnd"/>
      <w:r>
        <w:t xml:space="preserve"> de la ville en quatre itinéraires : vers le nord, du </w:t>
      </w:r>
      <w:proofErr w:type="spellStart"/>
      <w:r>
        <w:t>Duomo</w:t>
      </w:r>
      <w:proofErr w:type="spellEnd"/>
      <w:r>
        <w:t xml:space="preserve"> à San </w:t>
      </w:r>
      <w:proofErr w:type="gramStart"/>
      <w:r>
        <w:t>Marco;</w:t>
      </w:r>
      <w:proofErr w:type="gramEnd"/>
      <w:r>
        <w:t xml:space="preserve"> vers l’est, de la piazza </w:t>
      </w:r>
      <w:proofErr w:type="spellStart"/>
      <w:r>
        <w:t>della</w:t>
      </w:r>
      <w:proofErr w:type="spellEnd"/>
      <w:r>
        <w:t xml:space="preserve"> </w:t>
      </w:r>
      <w:proofErr w:type="spellStart"/>
      <w:r>
        <w:t>Signoria</w:t>
      </w:r>
      <w:proofErr w:type="spellEnd"/>
      <w:r>
        <w:t xml:space="preserve"> à Santa Croce; vers l’ouest, du Mercato Nuovo à Santa Maria Novella; enfin, le sud de l’Arno jusqu’au </w:t>
      </w:r>
      <w:proofErr w:type="spellStart"/>
      <w:r>
        <w:t>piazzale</w:t>
      </w:r>
      <w:proofErr w:type="spellEnd"/>
      <w:r>
        <w:t xml:space="preserve"> Michelangelo.</w:t>
      </w:r>
    </w:p>
    <w:p w14:paraId="74127495" w14:textId="77777777" w:rsidR="00AA3ED8" w:rsidRPr="001B04CE" w:rsidRDefault="00AA3ED8">
      <w:pPr>
        <w:rPr>
          <w:b/>
          <w:bCs/>
          <w:i/>
          <w:iCs/>
        </w:rPr>
      </w:pPr>
      <w:r w:rsidRPr="001B04CE">
        <w:rPr>
          <w:b/>
          <w:bCs/>
          <w:i/>
          <w:iCs/>
        </w:rPr>
        <w:t xml:space="preserve">Du </w:t>
      </w:r>
      <w:proofErr w:type="spellStart"/>
      <w:r w:rsidRPr="001B04CE">
        <w:rPr>
          <w:b/>
          <w:bCs/>
          <w:i/>
          <w:iCs/>
        </w:rPr>
        <w:t>Duomo</w:t>
      </w:r>
      <w:proofErr w:type="spellEnd"/>
      <w:r w:rsidRPr="001B04CE">
        <w:rPr>
          <w:b/>
          <w:bCs/>
          <w:i/>
          <w:iCs/>
        </w:rPr>
        <w:t xml:space="preserve"> à San Marco</w:t>
      </w:r>
    </w:p>
    <w:p w14:paraId="74127496" w14:textId="77777777" w:rsidR="00AA3ED8" w:rsidRDefault="00AA3ED8">
      <w:r>
        <w:t xml:space="preserve">Le </w:t>
      </w:r>
      <w:proofErr w:type="spellStart"/>
      <w:r>
        <w:t>Duomo</w:t>
      </w:r>
      <w:proofErr w:type="spellEnd"/>
      <w:r>
        <w:t xml:space="preserve">, Santa Maria </w:t>
      </w:r>
      <w:proofErr w:type="spellStart"/>
      <w:r>
        <w:t>del</w:t>
      </w:r>
      <w:proofErr w:type="spellEnd"/>
      <w:r>
        <w:t xml:space="preserve"> Fiore - témoin de l’orgueil civique très fort mais assurément justifié des Florentins - fut commencé en 1296. Son importante façade, toutefois, ne fut achevée que six siècles plus tard.</w:t>
      </w:r>
    </w:p>
    <w:p w14:paraId="74127497" w14:textId="77777777" w:rsidR="00AA3ED8" w:rsidRDefault="00AA3ED8">
      <w:r>
        <w:t xml:space="preserve">Le campanile, haut de 81,5 mètres, fut édifié d’après les plans de Giotto. Il est orné, à la base, de bas-reliefs hexagonaux, sculptés par Pisano et </w:t>
      </w:r>
      <w:proofErr w:type="spellStart"/>
      <w:r>
        <w:t>della</w:t>
      </w:r>
      <w:proofErr w:type="spellEnd"/>
      <w:r>
        <w:t xml:space="preserve"> </w:t>
      </w:r>
      <w:proofErr w:type="spellStart"/>
      <w:r>
        <w:t>Robbia</w:t>
      </w:r>
      <w:proofErr w:type="spellEnd"/>
      <w:r>
        <w:t xml:space="preserve"> d’après les dessins de Giotto. Ils retracent l’histoire de l’homme, de la création d’Adam jusqu’à l’apparition de la civilisation née des arts et des sciences - musique, architecture, métallurgie, etc. - que les corporations florentines, commanditaires de l’</w:t>
      </w:r>
      <w:proofErr w:type="spellStart"/>
      <w:r>
        <w:t>oeuvre</w:t>
      </w:r>
      <w:proofErr w:type="spellEnd"/>
      <w:r>
        <w:t xml:space="preserve">, pratiquèrent avec tant de zèle. Les originaux des </w:t>
      </w:r>
      <w:r w:rsidRPr="00373468">
        <w:t>statues de Donatello, qui occupaient les niches de la troisième rangée, sont</w:t>
      </w:r>
      <w:r>
        <w:t xml:space="preserve"> conservés au musée de l’</w:t>
      </w:r>
      <w:proofErr w:type="spellStart"/>
      <w:r>
        <w:t>Oeuvre</w:t>
      </w:r>
      <w:proofErr w:type="spellEnd"/>
      <w:r>
        <w:t xml:space="preserve"> de la cathédrale. Dans ce même musée se trouve la Pietà inachevée de Michel-Ange.</w:t>
      </w:r>
    </w:p>
    <w:p w14:paraId="74127498" w14:textId="77777777" w:rsidR="00AA3ED8" w:rsidRPr="001B04CE" w:rsidRDefault="00AA3ED8">
      <w:pPr>
        <w:rPr>
          <w:b/>
          <w:bCs/>
          <w:i/>
          <w:iCs/>
        </w:rPr>
      </w:pPr>
      <w:r w:rsidRPr="001B04CE">
        <w:rPr>
          <w:b/>
          <w:bCs/>
          <w:i/>
          <w:iCs/>
        </w:rPr>
        <w:t>Au sud de l’Arno</w:t>
      </w:r>
    </w:p>
    <w:p w14:paraId="74127499" w14:textId="77777777" w:rsidR="00AA3ED8" w:rsidRDefault="00AA3ED8">
      <w:r>
        <w:t>L’Arno, avec ses eaux vertes et limoneuses, et ses larges berges construites au XIXe siècle pour protéger la ville des inondations, n’a rien de bien poétique, mais deux de ses ponts sont superbes.</w:t>
      </w:r>
    </w:p>
    <w:p w14:paraId="7412749A" w14:textId="77777777" w:rsidR="00AA3ED8" w:rsidRDefault="00AA3ED8">
      <w:r>
        <w:t xml:space="preserve">Le ponte Santa </w:t>
      </w:r>
      <w:proofErr w:type="spellStart"/>
      <w:r>
        <w:t>Trinità</w:t>
      </w:r>
      <w:proofErr w:type="spellEnd"/>
      <w:r>
        <w:t xml:space="preserve"> (XVIe siècle), détruit en 1944, a été reconstruit avec les pierres d’origine, repêchées dans le fleuve, ainsi que les statues des Quatre Saisons. Les trois belles arches de Bartolomeo </w:t>
      </w:r>
      <w:proofErr w:type="spellStart"/>
      <w:r>
        <w:t>Ammanati</w:t>
      </w:r>
      <w:proofErr w:type="spellEnd"/>
      <w:r>
        <w:t xml:space="preserve"> s’inspirent de certains dessins de Michel-Ange.</w:t>
      </w:r>
    </w:p>
    <w:p w14:paraId="7412749B" w14:textId="77777777" w:rsidR="00AA3ED8" w:rsidRDefault="00AA3ED8">
      <w:r>
        <w:t xml:space="preserve">Le Ponte Vecchio, resté intact depuis 1345, fut le premier et, pendant des siècles, le seul pont de Florence. Les boutiques furent bâties du XVIe au XIXe </w:t>
      </w:r>
      <w:proofErr w:type="gramStart"/>
      <w:r>
        <w:t>siècle</w:t>
      </w:r>
      <w:proofErr w:type="gramEnd"/>
      <w:r>
        <w:t>. Vasa</w:t>
      </w:r>
      <w:r w:rsidR="00836DE7">
        <w:t>ri ayant construit, pour Cosme 1</w:t>
      </w:r>
      <w:r>
        <w:t xml:space="preserve">er, un passage couvert reliant le </w:t>
      </w:r>
      <w:proofErr w:type="spellStart"/>
      <w:r>
        <w:t>palazzo</w:t>
      </w:r>
      <w:proofErr w:type="spellEnd"/>
      <w:r>
        <w:t xml:space="preserve"> Pitti aux Offices, le duc fit remplacer les trop odorants étals de bouchers par les boutiques d’orfèvres et de joailliers qui s’y trouvent encore. Le buste en bronze (1900), au milieu du pont, est celui de Benvenuto Cellini, le plus célèbre des orfèvres.</w:t>
      </w:r>
    </w:p>
    <w:p w14:paraId="7412749C" w14:textId="77777777" w:rsidR="00AA3ED8" w:rsidRDefault="00AA3ED8">
      <w:r>
        <w:t>A la Renaissance, le quartier au sud de l’Arno était réservé à l’aristocratie. Les Médicis y avaient leur cour. Aujourd’hui, leur palais est un musée et les jardins, cadre de leurs réjouissances, sont ouverts au public.</w:t>
      </w:r>
    </w:p>
    <w:p w14:paraId="7412749D" w14:textId="77777777" w:rsidR="00AA3ED8" w:rsidRDefault="00AA3ED8">
      <w:r>
        <w:t xml:space="preserve">Franchissez le Ponte Vecchio et gagnez le vaste </w:t>
      </w:r>
      <w:proofErr w:type="spellStart"/>
      <w:r>
        <w:t>palazzo</w:t>
      </w:r>
      <w:proofErr w:type="spellEnd"/>
      <w:r>
        <w:t xml:space="preserve"> Pitti, dont l’intimidante façade, lourde et disgracieuse, contraste avec l’intérieur, orné et luxueux. Eléo</w:t>
      </w:r>
      <w:r w:rsidR="00836DE7">
        <w:t>nore de Tolède, femme de Cosme 1</w:t>
      </w:r>
      <w:r>
        <w:t>er, acheta le palais en 1549 à une famille de marchands, les Pitti, et en fit la résidence officielle des Médicis. Ce fut aussi, au XIXe siècle - mais pour peu de temps - celle du roi de l’Italie unifiée.</w:t>
      </w:r>
    </w:p>
    <w:p w14:paraId="7412749E" w14:textId="77777777" w:rsidR="00AA3ED8" w:rsidRDefault="00AA3ED8">
      <w:r>
        <w:t>Ses musées contiennent les richesses des Médicis, restées à peu près en l’état. La galerie Pitti (</w:t>
      </w:r>
      <w:proofErr w:type="spellStart"/>
      <w:r>
        <w:t>Galleria</w:t>
      </w:r>
      <w:proofErr w:type="spellEnd"/>
      <w:r>
        <w:t xml:space="preserve"> </w:t>
      </w:r>
      <w:proofErr w:type="spellStart"/>
      <w:r>
        <w:t>Palatina</w:t>
      </w:r>
      <w:proofErr w:type="spellEnd"/>
      <w:r>
        <w:t xml:space="preserve">) est constituée de leur collection de tableaux, disposés exactement comme les ducs eux-mêmes les avaient </w:t>
      </w:r>
      <w:r>
        <w:lastRenderedPageBreak/>
        <w:t xml:space="preserve">accrochés. Les salles richement décorées doivent leur noms - Vénus, Hercule, Prométhée, etc. - aux fresques du XVIIe siècle qui les ornent. Les Médicis, guidés par leur goût et servis par leurs moyens, ont ainsi rassemblé un nombre considérable de </w:t>
      </w:r>
      <w:proofErr w:type="spellStart"/>
      <w:r>
        <w:t>chefs-d’oeuvre</w:t>
      </w:r>
      <w:proofErr w:type="spellEnd"/>
      <w:r>
        <w:t>.</w:t>
      </w:r>
    </w:p>
    <w:p w14:paraId="7412749F" w14:textId="77777777" w:rsidR="00AA3ED8" w:rsidRDefault="00AA3ED8"/>
    <w:sectPr w:rsidR="00AA3ED8" w:rsidSect="003D6667">
      <w:pgSz w:w="11907" w:h="16840"/>
      <w:pgMar w:top="1418" w:right="1418" w:bottom="1418" w:left="1985"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1274A2" w14:textId="77777777" w:rsidR="007B24B9" w:rsidRDefault="007B24B9">
      <w:r>
        <w:separator/>
      </w:r>
    </w:p>
  </w:endnote>
  <w:endnote w:type="continuationSeparator" w:id="0">
    <w:p w14:paraId="741274A3" w14:textId="77777777" w:rsidR="007B24B9" w:rsidRDefault="007B24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1274A0" w14:textId="77777777" w:rsidR="007B24B9" w:rsidRDefault="007B24B9">
      <w:r>
        <w:separator/>
      </w:r>
    </w:p>
  </w:footnote>
  <w:footnote w:type="continuationSeparator" w:id="0">
    <w:p w14:paraId="741274A1" w14:textId="77777777" w:rsidR="007B24B9" w:rsidRDefault="007B24B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1B93"/>
    <w:rsid w:val="001A4D84"/>
    <w:rsid w:val="001B04CE"/>
    <w:rsid w:val="001D1913"/>
    <w:rsid w:val="00217CCA"/>
    <w:rsid w:val="00230197"/>
    <w:rsid w:val="00340A85"/>
    <w:rsid w:val="00373468"/>
    <w:rsid w:val="003D6667"/>
    <w:rsid w:val="007B24B9"/>
    <w:rsid w:val="00836DE7"/>
    <w:rsid w:val="00876A67"/>
    <w:rsid w:val="00AA3ED8"/>
    <w:rsid w:val="00AA4EC2"/>
    <w:rsid w:val="00B7098A"/>
    <w:rsid w:val="00BB751E"/>
    <w:rsid w:val="00BF6128"/>
    <w:rsid w:val="00D71B93"/>
    <w:rsid w:val="00EF3F47"/>
    <w:rsid w:val="00EF7977"/>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127492"/>
  <w15:docId w15:val="{322A8B7A-8156-49A8-B27C-6AF7FFEF1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fr-CH" w:eastAsia="fr-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cs="Arial"/>
      <w:sz w:val="24"/>
      <w:szCs w:val="24"/>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pPr>
      <w:tabs>
        <w:tab w:val="center" w:pos="4536"/>
        <w:tab w:val="right" w:pos="9072"/>
      </w:tabs>
    </w:pPr>
  </w:style>
  <w:style w:type="paragraph" w:styleId="Pieddepage">
    <w:name w:val="footer"/>
    <w:basedOn w:val="Normal"/>
    <w:pPr>
      <w:tabs>
        <w:tab w:val="center" w:pos="4536"/>
        <w:tab w:val="right" w:pos="9072"/>
      </w:tabs>
    </w:pPr>
  </w:style>
  <w:style w:type="character" w:styleId="Numrodepage">
    <w:name w:val="page number"/>
    <w:basedOn w:val="Policepardfaut"/>
    <w:rsid w:val="00BB751E"/>
  </w:style>
  <w:style w:type="paragraph" w:styleId="Textedebulles">
    <w:name w:val="Balloon Text"/>
    <w:basedOn w:val="Normal"/>
    <w:link w:val="TextedebullesCar"/>
    <w:uiPriority w:val="99"/>
    <w:semiHidden/>
    <w:unhideWhenUsed/>
    <w:rsid w:val="00373468"/>
    <w:rPr>
      <w:rFonts w:ascii="Tahoma" w:hAnsi="Tahoma" w:cs="Tahoma"/>
      <w:sz w:val="16"/>
      <w:szCs w:val="16"/>
    </w:rPr>
  </w:style>
  <w:style w:type="character" w:customStyle="1" w:styleId="TextedebullesCar">
    <w:name w:val="Texte de bulles Car"/>
    <w:basedOn w:val="Policepardfaut"/>
    <w:link w:val="Textedebulles"/>
    <w:uiPriority w:val="99"/>
    <w:semiHidden/>
    <w:rsid w:val="00373468"/>
    <w:rPr>
      <w:rFonts w:ascii="Tahoma" w:hAnsi="Tahoma" w:cs="Tahoma"/>
      <w:sz w:val="16"/>
      <w:szCs w:val="16"/>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592</Words>
  <Characters>3022</Characters>
  <Application>Microsoft Office Word</Application>
  <DocSecurity>0</DocSecurity>
  <Lines>25</Lines>
  <Paragraphs>7</Paragraphs>
  <ScaleCrop>false</ScaleCrop>
  <HeadingPairs>
    <vt:vector size="2" baseType="variant">
      <vt:variant>
        <vt:lpstr>Titre</vt:lpstr>
      </vt:variant>
      <vt:variant>
        <vt:i4>1</vt:i4>
      </vt:variant>
    </vt:vector>
  </HeadingPairs>
  <TitlesOfParts>
    <vt:vector size="1" baseType="lpstr">
      <vt:lpstr>Florence</vt:lpstr>
    </vt:vector>
  </TitlesOfParts>
  <Company>-</Company>
  <LinksUpToDate>false</LinksUpToDate>
  <CharactersWithSpaces>3607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Florence</dc:title>
  <dc:creator>Winword 6.0</dc:creator>
  <cp:lastModifiedBy>VAN Phuoc</cp:lastModifiedBy>
  <cp:revision>9</cp:revision>
  <cp:lastPrinted>1900-12-31T23:00:00Z</cp:lastPrinted>
  <dcterms:created xsi:type="dcterms:W3CDTF">2013-09-27T06:04:00Z</dcterms:created>
  <dcterms:modified xsi:type="dcterms:W3CDTF">2024-09-22T19:30:00Z</dcterms:modified>
</cp:coreProperties>
</file>