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drawing>
          <wp:inline>
            <wp:extent cx="2914650" cy="600075"/>
            <wp:effectExtent b="0" l="0" r="0" t="0"/>
            <wp:docPr descr="OASIS logo" title="" id="10" name="Picture"/>
            <a:graphic>
              <a:graphicData uri="http://schemas.openxmlformats.org/drawingml/2006/picture">
                <pic:pic>
                  <pic:nvPicPr>
                    <pic:cNvPr descr="images/oasis-logo.png" id="11" name="Picture"/>
                    <pic:cNvPicPr>
                      <a:picLocks noChangeArrowheads="1" noChangeAspect="1"/>
                    </pic:cNvPicPr>
                  </pic:nvPicPr>
                  <pic:blipFill>
                    <a:blip r:embed="rId9"/>
                    <a:stretch>
                      <a:fillRect/>
                    </a:stretch>
                  </pic:blipFill>
                  <pic:spPr bwMode="auto">
                    <a:xfrm>
                      <a:off x="0" y="0"/>
                      <a:ext cx="2914650" cy="600075"/>
                    </a:xfrm>
                    <a:prstGeom prst="rect">
                      <a:avLst/>
                    </a:prstGeom>
                    <a:noFill/>
                    <a:ln w="9525">
                      <a:noFill/>
                      <a:headEnd/>
                      <a:tailEnd/>
                    </a:ln>
                  </pic:spPr>
                </pic:pic>
              </a:graphicData>
            </a:graphic>
          </wp:inline>
        </w:drawing>
      </w:r>
    </w:p>
    <w:p>
      <w:pPr>
        <w:pStyle w:val="Date"/>
      </w:pPr>
      <w:r>
        <w:t xml:space="preserve">2025-06-30</w:t>
      </w:r>
    </w:p>
    <w:p>
      <w:pPr>
        <w:pStyle w:val="FirstParagraph"/>
      </w:pPr>
      <w:r>
        <w:rPr>
          <w:b/>
          <w:bCs/>
        </w:rPr>
        <w:t xml:space="preserve">STIX Version 2.1 Errata 01</w:t>
      </w:r>
    </w:p>
    <w:p>
      <w:pPr>
        <w:pStyle w:val="BodyText"/>
      </w:pPr>
      <w:r>
        <w:rPr>
          <w:b/>
          <w:bCs/>
        </w:rPr>
        <w:t xml:space="preserve">Committee Specification Draft 01</w:t>
      </w:r>
    </w:p>
    <w:p>
      <w:pPr>
        <w:pStyle w:val="BodyText"/>
      </w:pPr>
      <w:r>
        <w:rPr>
          <w:b/>
          <w:bCs/>
        </w:rPr>
        <w:t xml:space="preserve">02 April 2025</w:t>
      </w:r>
    </w:p>
    <w:p>
      <w:pPr>
        <w:pStyle w:val="BodyText"/>
      </w:pPr>
      <w:r>
        <w:rPr>
          <w:b/>
          <w:bCs/>
        </w:rPr>
        <w:t xml:space="preserve">This stage:</w:t>
      </w:r>
      <w:r>
        <w:br/>
      </w:r>
      <w:hyperlink r:id="rId12">
        <w:r>
          <w:rPr>
            <w:rStyle w:val="Hyperlink"/>
          </w:rPr>
          <w:t xml:space="preserve">https://docs.oasis-open.org/cti/stix/v2.1/errata01/stix-v2.1-errata01-csd01.docx</w:t>
        </w:r>
      </w:hyperlink>
      <w:r>
        <w:t xml:space="preserve"> </w:t>
      </w:r>
      <w:r>
        <w:t xml:space="preserve">(Authoritative)</w:t>
      </w:r>
      <w:r>
        <w:br/>
      </w:r>
      <w:hyperlink r:id="rId13">
        <w:r>
          <w:rPr>
            <w:rStyle w:val="Hyperlink"/>
          </w:rPr>
          <w:t xml:space="preserve">https://docs.oasis-open.org/cti/stix/v2.1/errata01/stix-v2.1-errata01-csd01.html</w:t>
        </w:r>
      </w:hyperlink>
      <w:r>
        <w:br/>
      </w:r>
      <w:hyperlink r:id="rId14">
        <w:r>
          <w:rPr>
            <w:rStyle w:val="Hyperlink"/>
          </w:rPr>
          <w:t xml:space="preserve">https://docs.oasis-open.org/cti/stix/v2.1/errata01/stix-v2.1-errata01-csd01.pdf</w:t>
        </w:r>
      </w:hyperlink>
      <w:r>
        <w:br/>
      </w:r>
      <w:r>
        <w:rPr>
          <w:b/>
          <w:bCs/>
        </w:rPr>
        <w:t xml:space="preserve">Previous stage:</w:t>
      </w:r>
      <w:r>
        <w:br/>
      </w:r>
      <w:hyperlink r:id="rId15">
        <w:r>
          <w:rPr>
            <w:rStyle w:val="Hyperlink"/>
          </w:rPr>
          <w:t xml:space="preserve">https://docs.oasis-open.org/cti/stix/v2.1/os/stix-v2.1-os.docx</w:t>
        </w:r>
      </w:hyperlink>
      <w:r>
        <w:t xml:space="preserve"> </w:t>
      </w:r>
      <w:r>
        <w:t xml:space="preserve">(Authoritative)</w:t>
      </w:r>
      <w:r>
        <w:br/>
      </w:r>
      <w:hyperlink r:id="rId16">
        <w:r>
          <w:rPr>
            <w:rStyle w:val="Hyperlink"/>
          </w:rPr>
          <w:t xml:space="preserve">https://docs.oasis-open.org/cti/stix/v2.1/os/stix-v2.1-os.html</w:t>
        </w:r>
      </w:hyperlink>
      <w:r>
        <w:br/>
      </w:r>
      <w:hyperlink r:id="rId17">
        <w:r>
          <w:rPr>
            <w:rStyle w:val="Hyperlink"/>
          </w:rPr>
          <w:t xml:space="preserve">https://docs.oasis-open.org/cti/stix/v2.1/os/stix-v2.1-os.pdf</w:t>
        </w:r>
      </w:hyperlink>
      <w:r>
        <w:br/>
      </w:r>
      <w:r>
        <w:rPr>
          <w:b/>
          <w:bCs/>
        </w:rPr>
        <w:t xml:space="preserve">Latest stage:</w:t>
      </w:r>
      <w:r>
        <w:br/>
      </w:r>
      <w:hyperlink r:id="rId18">
        <w:r>
          <w:rPr>
            <w:rStyle w:val="Hyperlink"/>
          </w:rPr>
          <w:t xml:space="preserve">https://docs.oasis-open.org/cti/stix/v2.1/stix-v2.1.docx</w:t>
        </w:r>
      </w:hyperlink>
      <w:r>
        <w:t xml:space="preserve"> </w:t>
      </w:r>
      <w:r>
        <w:t xml:space="preserve">(Authoritative)</w:t>
      </w:r>
      <w:r>
        <w:br/>
      </w:r>
      <w:hyperlink r:id="rId19">
        <w:r>
          <w:rPr>
            <w:rStyle w:val="Hyperlink"/>
          </w:rPr>
          <w:t xml:space="preserve">https://docs.oasis-open.org/cti/stix/v2.1/stix-v2.1.html</w:t>
        </w:r>
      </w:hyperlink>
      <w:r>
        <w:br/>
      </w:r>
      <w:hyperlink r:id="rId20">
        <w:r>
          <w:rPr>
            <w:rStyle w:val="Hyperlink"/>
          </w:rPr>
          <w:t xml:space="preserve">https://docs.oasis-open.org/cti/stix/v2.1/stix-v2.1.pdf</w:t>
        </w:r>
      </w:hyperlink>
      <w:r>
        <w:br/>
      </w:r>
    </w:p>
    <w:p>
      <w:pPr>
        <w:pStyle w:val="BodyText"/>
      </w:pPr>
      <w:r>
        <w:rPr>
          <w:b/>
          <w:bCs/>
        </w:rPr>
        <w:t xml:space="preserve">Technical Committee:</w:t>
      </w:r>
      <w:r>
        <w:br/>
      </w:r>
      <w:hyperlink r:id="rId21">
        <w:r>
          <w:rPr>
            <w:rStyle w:val="Hyperlink"/>
          </w:rPr>
          <w:t xml:space="preserve">OASIS Cyber Threat Intelligence (CTI) TC</w:t>
        </w:r>
      </w:hyperlink>
    </w:p>
    <w:p>
      <w:pPr>
        <w:pStyle w:val="BodyText"/>
      </w:pPr>
      <w:r>
        <w:rPr>
          <w:b/>
          <w:bCs/>
        </w:rPr>
        <w:t xml:space="preserve">Chairs:</w:t>
      </w:r>
      <w:r>
        <w:br/>
      </w:r>
      <w:r>
        <w:t xml:space="preserve">Marlon Taylor (</w:t>
      </w:r>
      <w:hyperlink r:id="rId22">
        <w:r>
          <w:rPr>
            <w:rStyle w:val="Hyperlink"/>
          </w:rPr>
          <w:t xml:space="preserve">marlon.taylor@cisa.dhs.gov</w:t>
        </w:r>
      </w:hyperlink>
      <w:r>
        <w:t xml:space="preserve">),</w:t>
      </w:r>
      <w:r>
        <w:t xml:space="preserve"> </w:t>
      </w:r>
      <w:hyperlink r:id="rId23">
        <w:r>
          <w:rPr>
            <w:rStyle w:val="Hyperlink"/>
          </w:rPr>
          <w:t xml:space="preserve">DHS Office of Cybersecurity and Communications</w:t>
        </w:r>
      </w:hyperlink>
      <w:r>
        <w:br/>
      </w:r>
      <w:r>
        <w:t xml:space="preserve">Alexandre Dulaunoy (</w:t>
      </w:r>
      <w:hyperlink r:id="rId24">
        <w:r>
          <w:rPr>
            <w:rStyle w:val="Hyperlink"/>
          </w:rPr>
          <w:t xml:space="preserve">alexandre.dulaunoy@x.circl.lu</w:t>
        </w:r>
      </w:hyperlink>
      <w:r>
        <w:t xml:space="preserve">),</w:t>
      </w:r>
      <w:r>
        <w:t xml:space="preserve"> </w:t>
      </w:r>
      <w:hyperlink r:id="rId25">
        <w:r>
          <w:rPr>
            <w:rStyle w:val="Hyperlink"/>
          </w:rPr>
          <w:t xml:space="preserve">CIRCL</w:t>
        </w:r>
      </w:hyperlink>
    </w:p>
    <w:p>
      <w:pPr>
        <w:pStyle w:val="BodyText"/>
      </w:pPr>
      <w:r>
        <w:rPr>
          <w:b/>
          <w:bCs/>
        </w:rPr>
        <w:t xml:space="preserve">Editors:</w:t>
      </w:r>
      <w:r>
        <w:br/>
      </w:r>
      <w:r>
        <w:t xml:space="preserve">Rich Piazza (</w:t>
      </w:r>
      <w:hyperlink r:id="rId26">
        <w:r>
          <w:rPr>
            <w:rStyle w:val="Hyperlink"/>
          </w:rPr>
          <w:t xml:space="preserve">rpiazza@mitre.org</w:t>
        </w:r>
      </w:hyperlink>
      <w:r>
        <w:t xml:space="preserve">),</w:t>
      </w:r>
      <w:r>
        <w:t xml:space="preserve"> </w:t>
      </w:r>
      <w:hyperlink r:id="rId27">
        <w:r>
          <w:rPr>
            <w:rStyle w:val="Hyperlink"/>
          </w:rPr>
          <w:t xml:space="preserve">MITRE Corporation</w:t>
        </w:r>
      </w:hyperlink>
      <w:r>
        <w:br/>
      </w:r>
      <w:r>
        <w:t xml:space="preserve">Emily Ratliff (</w:t>
      </w:r>
      <w:hyperlink r:id="rId26">
        <w:r>
          <w:rPr>
            <w:rStyle w:val="Hyperlink"/>
          </w:rPr>
          <w:t xml:space="preserve">emily.ratliff@ibm.com</w:t>
        </w:r>
      </w:hyperlink>
      <w:r>
        <w:t xml:space="preserve">),</w:t>
      </w:r>
      <w:r>
        <w:t xml:space="preserve"> </w:t>
      </w:r>
      <w:hyperlink r:id="rId28">
        <w:r>
          <w:rPr>
            <w:rStyle w:val="Hyperlink"/>
          </w:rPr>
          <w:t xml:space="preserve">IBM</w:t>
        </w:r>
      </w:hyperlink>
      <w:r>
        <w:br/>
      </w:r>
      <w:r>
        <w:t xml:space="preserve">Stephan Relitz (</w:t>
      </w:r>
      <w:hyperlink r:id="rId29">
        <w:r>
          <w:rPr>
            <w:rStyle w:val="Hyperlink"/>
          </w:rPr>
          <w:t xml:space="preserve">stephan.relitz@peraton.com</w:t>
        </w:r>
      </w:hyperlink>
      <w:r>
        <w:t xml:space="preserve">),</w:t>
      </w:r>
      <w:r>
        <w:t xml:space="preserve"> </w:t>
      </w:r>
      <w:hyperlink r:id="rId30">
        <w:r>
          <w:rPr>
            <w:rStyle w:val="Hyperlink"/>
          </w:rPr>
          <w:t xml:space="preserve">Peraton</w:t>
        </w:r>
      </w:hyperlink>
      <w:r>
        <w:br/>
      </w:r>
      <w:r>
        <w:t xml:space="preserve">Christian Studer (</w:t>
      </w:r>
      <w:hyperlink r:id="rId31">
        <w:r>
          <w:rPr>
            <w:rStyle w:val="Hyperlink"/>
          </w:rPr>
          <w:t xml:space="preserve">christian.studer@circl.lu</w:t>
        </w:r>
      </w:hyperlink>
      <w:r>
        <w:t xml:space="preserve">),</w:t>
      </w:r>
      <w:r>
        <w:t xml:space="preserve"> </w:t>
      </w:r>
      <w:hyperlink r:id="rId25">
        <w:r>
          <w:rPr>
            <w:rStyle w:val="Hyperlink"/>
          </w:rPr>
          <w:t xml:space="preserve">CIRCL</w:t>
        </w:r>
      </w:hyperlink>
    </w:p>
    <w:p>
      <w:pPr>
        <w:pStyle w:val="BodyText"/>
      </w:pPr>
      <w:bookmarkStart w:id="32" w:name="RelatedWork"/>
      <w:bookmarkEnd w:id="32"/>
      <w:r>
        <w:t xml:space="preserve"> </w:t>
      </w:r>
      <w:r>
        <w:rPr>
          <w:b/>
          <w:bCs/>
        </w:rPr>
        <w:t xml:space="preserve">Related work:</w:t>
      </w:r>
      <w:r>
        <w:br/>
      </w:r>
    </w:p>
    <w:p>
      <w:pPr>
        <w:numPr>
          <w:ilvl w:val="0"/>
          <w:numId w:val="1001"/>
        </w:numPr>
      </w:pPr>
      <w:r>
        <w:rPr>
          <w:i/>
          <w:iCs/>
        </w:rPr>
        <w:t xml:space="preserve">STIX Version 2.1.</w:t>
      </w:r>
      <w:r>
        <w:t xml:space="preserve"> </w:t>
      </w:r>
      <w:r>
        <w:t xml:space="preserve">Edited by Bret Jordan, Rich Piazza, and Trey Darley. Latest stage:</w:t>
      </w:r>
      <w:r>
        <w:t xml:space="preserve"> </w:t>
      </w:r>
      <w:hyperlink r:id="rId19">
        <w:r>
          <w:rPr>
            <w:rStyle w:val="Hyperlink"/>
          </w:rPr>
          <w:t xml:space="preserve">https://docs.oasis-open.org/cti/stix/v2.1/stix-v2.1.html</w:t>
        </w:r>
      </w:hyperlink>
      <w:r>
        <w:t xml:space="preserve">.</w:t>
      </w:r>
    </w:p>
    <w:p>
      <w:pPr>
        <w:pStyle w:val="FirstParagraph"/>
      </w:pPr>
      <w:r>
        <w:t xml:space="preserve">This specification is related to:</w:t>
      </w:r>
    </w:p>
    <w:p>
      <w:pPr>
        <w:numPr>
          <w:ilvl w:val="0"/>
          <w:numId w:val="1002"/>
        </w:numPr>
      </w:pPr>
      <w:r>
        <w:rPr>
          <w:i/>
          <w:iCs/>
        </w:rPr>
        <w:t xml:space="preserve">TAXII Version 2.1.</w:t>
      </w:r>
      <w:r>
        <w:t xml:space="preserve"> </w:t>
      </w:r>
      <w:r>
        <w:t xml:space="preserve">Edited by Bret Jordan and Drew Varner. Latest stage:</w:t>
      </w:r>
      <w:r>
        <w:t xml:space="preserve"> </w:t>
      </w:r>
      <w:hyperlink r:id="rId33">
        <w:r>
          <w:rPr>
            <w:rStyle w:val="Hyperlink"/>
          </w:rPr>
          <w:t xml:space="preserve">https://docs.oasis-open.org/cti/taxii/v2.1/taxii-v2.1.html</w:t>
        </w:r>
      </w:hyperlink>
      <w:r>
        <w:t xml:space="preserve">.</w:t>
      </w:r>
    </w:p>
    <w:p>
      <w:pPr>
        <w:numPr>
          <w:ilvl w:val="0"/>
          <w:numId w:val="1002"/>
        </w:numPr>
      </w:pPr>
      <w:r>
        <w:rPr>
          <w:i/>
          <w:iCs/>
        </w:rPr>
        <w:t xml:space="preserve">STIX/TAXII 2.0 Interoperability Test Document: Part 1 Version 1.1.</w:t>
      </w:r>
      <w:r>
        <w:t xml:space="preserve"> </w:t>
      </w:r>
      <w:r>
        <w:t xml:space="preserve">Edited by Allan Thomson and Jason Keirstead. Latest stage:</w:t>
      </w:r>
      <w:r>
        <w:t xml:space="preserve"> </w:t>
      </w:r>
      <w:hyperlink r:id="rId34">
        <w:r>
          <w:rPr>
            <w:rStyle w:val="Hyperlink"/>
          </w:rPr>
          <w:t xml:space="preserve">https://docs.oasis-open.org/cti/stix-taxii-2-interop-p1/v1.1/stix-taxii-2-interop-p1-v1.1.html</w:t>
        </w:r>
      </w:hyperlink>
      <w:r>
        <w:t xml:space="preserve">.</w:t>
      </w:r>
    </w:p>
    <w:p>
      <w:pPr>
        <w:numPr>
          <w:ilvl w:val="0"/>
          <w:numId w:val="1002"/>
        </w:numPr>
      </w:pPr>
      <w:r>
        <w:rPr>
          <w:i/>
          <w:iCs/>
        </w:rPr>
        <w:t xml:space="preserve">STIX/TAXII 2.0 Interoperability Test Document: Part 2 Version 1.0.</w:t>
      </w:r>
      <w:r>
        <w:t xml:space="preserve"> </w:t>
      </w:r>
      <w:r>
        <w:t xml:space="preserve">Edited by Allan Thomson and Jason Keirstead. Latest stage:</w:t>
      </w:r>
      <w:r>
        <w:t xml:space="preserve"> </w:t>
      </w:r>
      <w:hyperlink r:id="rId35">
        <w:r>
          <w:rPr>
            <w:rStyle w:val="Hyperlink"/>
          </w:rPr>
          <w:t xml:space="preserve">https://docs.oasis-open.org/cti/stix-taxii-2-interop-p2/v1.0/stix-taxii-2-interop-p2-v1.0.html</w:t>
        </w:r>
      </w:hyperlink>
      <w:r>
        <w:t xml:space="preserve">.</w:t>
      </w:r>
    </w:p>
    <w:p>
      <w:pPr>
        <w:pStyle w:val="FirstParagraph"/>
      </w:pPr>
      <w:r>
        <w:rPr>
          <w:b/>
          <w:bCs/>
        </w:rPr>
        <w:t xml:space="preserve">Abstract:</w:t>
      </w:r>
      <w:r>
        <w:br/>
      </w:r>
      <w:r>
        <w:t xml:space="preserve">This document provides Errata for the OASIS Standard STIX Version 2.1. It corrects non-material issues identified or reported by participants to the TC, listed in the Github issues system, and discussed during CTI TC working call sessions.</w:t>
      </w:r>
    </w:p>
    <w:p>
      <w:pPr>
        <w:pStyle w:val="BodyText"/>
      </w:pPr>
      <w:r>
        <w:rPr>
          <w:b/>
          <w:bCs/>
        </w:rPr>
        <w:t xml:space="preserve">Status:</w:t>
      </w:r>
      <w:r>
        <w:br/>
      </w:r>
      <w:r>
        <w:t xml:space="preserve">This document was last revised or approved by the membership of OASIS on the above date. The level of approval is also listed above. Check the "Latest stage" location noted above for possible later revisions of this document. Any other numbered Versions and other technical work produced by the Technical Committee (TC) are listed at</w:t>
      </w:r>
      <w:r>
        <w:t xml:space="preserve"> </w:t>
      </w:r>
      <w:hyperlink r:id="rId36">
        <w:r>
          <w:rPr>
            <w:rStyle w:val="Hyperlink"/>
          </w:rPr>
          <w:t xml:space="preserve">https://www.oasis-open.org/committees/tc_home.php?wg_abbrev=cti#technical</w:t>
        </w:r>
      </w:hyperlink>
      <w:r>
        <w:t xml:space="preserve">.</w:t>
      </w:r>
    </w:p>
    <w:p>
      <w:pPr>
        <w:pStyle w:val="BodyText"/>
      </w:pPr>
      <w:r>
        <w:t xml:space="preserve">TC members should send comments on this document to the TC’s email list. Others should send comments to the TC’s public comment list, after subscribing to it by following the instructions at the "</w:t>
      </w:r>
      <w:hyperlink r:id="rId37">
        <w:r>
          <w:rPr>
            <w:rStyle w:val="Hyperlink"/>
          </w:rPr>
          <w:t xml:space="preserve">Send A Comment</w:t>
        </w:r>
      </w:hyperlink>
      <w:r>
        <w:t xml:space="preserve">" button on the TC’s web page at</w:t>
      </w:r>
      <w:r>
        <w:t xml:space="preserve"> </w:t>
      </w:r>
      <w:hyperlink r:id="rId21">
        <w:r>
          <w:rPr>
            <w:rStyle w:val="Hyperlink"/>
          </w:rPr>
          <w:t xml:space="preserve">https://www.oasis-open.org/committees/cti/</w:t>
        </w:r>
      </w:hyperlink>
      <w:r>
        <w:t xml:space="preserve">.</w:t>
      </w:r>
    </w:p>
    <w:p>
      <w:pPr>
        <w:pStyle w:val="BodyText"/>
      </w:pPr>
      <w:r>
        <w:t xml:space="preserve">This specification is provided under the</w:t>
      </w:r>
      <w:r>
        <w:t xml:space="preserve"> </w:t>
      </w:r>
      <w:hyperlink r:id="rId38">
        <w:r>
          <w:rPr>
            <w:rStyle w:val="Hyperlink"/>
          </w:rPr>
          <w:t xml:space="preserve">Non-Assertion</w:t>
        </w:r>
      </w:hyperlink>
      <w:r>
        <w:t xml:space="preserve"> </w:t>
      </w:r>
      <w:r>
        <w:t xml:space="preserve">Mode of the</w:t>
      </w:r>
      <w:r>
        <w:t xml:space="preserve"> </w:t>
      </w:r>
      <w:hyperlink r:id="rId39">
        <w:r>
          <w:rPr>
            <w:rStyle w:val="Hyperlink"/>
          </w:rPr>
          <w:t xml:space="preserve">OASIS IPR Policy</w:t>
        </w:r>
      </w:hyperlink>
      <w:r>
        <w:t xml:space="preserve">,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40">
        <w:r>
          <w:rPr>
            <w:rStyle w:val="Hyperlink"/>
          </w:rPr>
          <w:t xml:space="preserve">https://www.oasis-open.org/committees/cti/ipr.php</w:t>
        </w:r>
      </w:hyperlink>
      <w:r>
        <w:t xml:space="preserve">).</w:t>
      </w:r>
    </w:p>
    <w:p>
      <w:pPr>
        <w:pStyle w:val="BodyText"/>
      </w:pPr>
      <w:r>
        <w:t xml:space="preserve">Note that any machine-readable content (</w:t>
      </w:r>
      <w:hyperlink r:id="rId41">
        <w:r>
          <w:rPr>
            <w:rStyle w:val="Hyperlink"/>
          </w:rPr>
          <w:t xml:space="preserve">Computer Language Definitions</w:t>
        </w:r>
      </w:hyperlink>
      <w:r>
        <w:t xml:space="preserve">) declared Normative for this Work Product is provided in separate plain text files. In the event of a discrepancy between any such plain text file and display content in the Work Product’s prose narrative document(s), the content in the separate plain text file prevails.</w:t>
      </w:r>
    </w:p>
    <w:p>
      <w:pPr>
        <w:pStyle w:val="BodyText"/>
      </w:pPr>
      <w:r>
        <w:rPr>
          <w:b/>
          <w:bCs/>
        </w:rPr>
        <w:t xml:space="preserve">Citation format:</w:t>
      </w:r>
      <w:r>
        <w:br/>
      </w:r>
      <w:r>
        <w:t xml:space="preserve">When referencing this specification, the following citation format should be used:</w:t>
      </w:r>
    </w:p>
    <w:p>
      <w:pPr>
        <w:pStyle w:val="BodyText"/>
      </w:pPr>
      <w:r>
        <w:rPr>
          <w:b/>
          <w:bCs/>
        </w:rPr>
        <w:t xml:space="preserve">[STIX-v2.1-errata01]</w:t>
      </w:r>
    </w:p>
    <w:p>
      <w:pPr>
        <w:pStyle w:val="BodyText"/>
      </w:pPr>
      <w:r>
        <w:rPr>
          <w:i/>
          <w:iCs/>
        </w:rPr>
        <w:t xml:space="preserve">STIX Version 2.1 Errata 01</w:t>
      </w:r>
      <w:r>
        <w:t xml:space="preserve">. Edited by Rich Piazza, Emily Ratliff, Stephan Relitz and Christian Studer. 14 March 2025. OASIS Committee Specification Draft 01.</w:t>
      </w:r>
      <w:r>
        <w:t xml:space="preserve"> </w:t>
      </w:r>
      <w:hyperlink r:id="rId42">
        <w:r>
          <w:rPr>
            <w:rStyle w:val="Hyperlink"/>
          </w:rPr>
          <w:t xml:space="preserve">https://docs.oasis-open.org/cti/stix/v2.1.1/csd01/stix-v2.1.1-csd01.html</w:t>
        </w:r>
      </w:hyperlink>
      <w:r>
        <w:t xml:space="preserve">. Latest stage:</w:t>
      </w:r>
      <w:r>
        <w:t xml:space="preserve"> </w:t>
      </w:r>
      <w:hyperlink r:id="rId43">
        <w:r>
          <w:rPr>
            <w:rStyle w:val="Hyperlink"/>
          </w:rPr>
          <w:t xml:space="preserve">https://docs.oasis-open.org/cti/stix/v2.1.1/stix-v2.1.1.html</w:t>
        </w:r>
      </w:hyperlink>
      <w:r>
        <w:t xml:space="preserve">.</w:t>
      </w:r>
    </w:p>
    <w:p>
      <w:pPr>
        <w:pStyle w:val="BodyText"/>
      </w:pPr>
      <w:r>
        <w:rPr>
          <w:b/>
          <w:bCs/>
        </w:rPr>
        <w:t xml:space="preserve">Notices</w:t>
      </w:r>
    </w:p>
    <w:p>
      <w:pPr>
        <w:pStyle w:val="BodyText"/>
      </w:pPr>
      <w:r>
        <w:t xml:space="preserve">Copyright © OASIS Open 2025. All Rights Reserved.</w:t>
      </w:r>
    </w:p>
    <w:p>
      <w:pPr>
        <w:pStyle w:val="BodyText"/>
      </w:pPr>
      <w:r>
        <w:t xml:space="preserve">Distributed under the terms of the OASIS IPR Policy, [</w:t>
      </w:r>
      <w:hyperlink r:id="rId39">
        <w:r>
          <w:rPr>
            <w:rStyle w:val="Hyperlink"/>
          </w:rPr>
          <w:t xml:space="preserve">https://www.oasis-open.org/policies-guidelines/ipr/</w:t>
        </w:r>
      </w:hyperlink>
      <w:r>
        <w:t xml:space="preserve">].</w:t>
      </w:r>
      <w:r>
        <w:t xml:space="preserve"> </w:t>
      </w:r>
      <w:r>
        <w:t xml:space="preserve">For complete copyright information please see the full Notices section in an Appendix below.</w:t>
      </w:r>
    </w:p>
    <w:bookmarkStart w:id="46" w:name="X1ea7cbd003469405f98a7976943980a7b23bcee"/>
    <w:p>
      <w:pPr>
        <w:pStyle w:val="Heading1"/>
      </w:pPr>
      <w:r>
        <w:t xml:space="preserve">Introduction</w:t>
      </w:r>
    </w:p>
    <w:p>
      <w:pPr>
        <w:pStyle w:val="FirstParagraph"/>
      </w:pPr>
      <w:r>
        <w:t xml:space="preserve">This document lists all the corrections made to STIX Version 2.1.</w:t>
      </w:r>
    </w:p>
    <w:bookmarkStart w:id="44" w:name="Xf474b82d3e9b7e65971f641244d70a209af48f6"/>
    <w:p>
      <w:pPr>
        <w:pStyle w:val="Heading2"/>
      </w:pPr>
      <w:r>
        <w:t xml:space="preserve">Scope of changes</w:t>
      </w:r>
    </w:p>
    <w:p>
      <w:pPr>
        <w:pStyle w:val="FirstParagraph"/>
      </w:pPr>
      <w:r>
        <w:t xml:space="preserve">Non-material corrections have been made to the STIX 2.1 specification to address issues identified or reported by participants to the TC, listed in the Github issues system, and discussed during CTI TC working call sessions. Changes provide additional or missing vocabulary values, fix typos, improve descriptions, correct examples or</w:t>
      </w:r>
    </w:p>
    <w:bookmarkEnd w:id="44"/>
    <w:bookmarkStart w:id="45" w:name="X26dd745cbb3266895fd407e5553c4e412a46e3e"/>
    <w:p>
      <w:pPr>
        <w:pStyle w:val="Heading2"/>
      </w:pPr>
      <w:r>
        <w:t xml:space="preserve">Description of changes</w:t>
      </w:r>
    </w:p>
    <w:p>
      <w:pPr>
        <w:pStyle w:val="FirstParagraph"/>
      </w:pPr>
      <w:r>
        <w:t xml:space="preserve">STIX 2.1 Errata 01 differs from STIX 2.1 in the following ways:</w:t>
      </w:r>
    </w:p>
    <w:p>
      <w:pPr>
        <w:numPr>
          <w:ilvl w:val="0"/>
          <w:numId w:val="1003"/>
        </w:numPr>
      </w:pPr>
      <w:r>
        <w:t xml:space="preserve">Updated Malware Embedded Relationships table with missing property in</w:t>
      </w:r>
      <w:r>
        <w:t xml:space="preserve"> </w:t>
      </w:r>
      <w:r>
        <w:rPr>
          <w:i/>
          <w:iCs/>
        </w:rPr>
        <w:t xml:space="preserve">Section 4.11.2 - Malware Relationships</w:t>
      </w:r>
      <w:r>
        <w:t xml:space="preserve">.</w:t>
      </w:r>
    </w:p>
    <w:p>
      <w:pPr>
        <w:numPr>
          <w:ilvl w:val="1"/>
          <w:numId w:val="1004"/>
        </w:numPr>
      </w:pPr>
      <w:r>
        <w:rPr>
          <w:b/>
          <w:bCs/>
        </w:rPr>
        <w:t xml:space="preserve">operating_system_refs</w:t>
      </w:r>
      <w:r>
        <w:t xml:space="preserve"> </w:t>
      </w:r>
      <w:r>
        <w:t xml:space="preserve">is no longer missing in the table.</w:t>
      </w:r>
    </w:p>
    <w:p>
      <w:pPr>
        <w:numPr>
          <w:ilvl w:val="0"/>
          <w:numId w:val="1003"/>
        </w:numPr>
      </w:pPr>
      <w:r>
        <w:t xml:space="preserve">Malware Analysis Relationships table fixed with the right relationship type between Malware Analysis and Malware in</w:t>
      </w:r>
      <w:r>
        <w:t xml:space="preserve"> </w:t>
      </w:r>
      <w:r>
        <w:rPr>
          <w:i/>
          <w:iCs/>
        </w:rPr>
        <w:t xml:space="preserve">Section 4.12.2 - Malware Analysis Relationships</w:t>
      </w:r>
    </w:p>
    <w:p>
      <w:pPr>
        <w:numPr>
          <w:ilvl w:val="1"/>
          <w:numId w:val="1005"/>
        </w:numPr>
      </w:pPr>
      <w:r>
        <w:t xml:space="preserve">wrong</w:t>
      </w:r>
      <w:r>
        <w:t xml:space="preserve"> </w:t>
      </w:r>
      <w:r>
        <w:t xml:space="preserve">analysis-of</w:t>
      </w:r>
      <w:r>
        <w:t xml:space="preserve"> </w:t>
      </w:r>
      <w:r>
        <w:t xml:space="preserve">is replaced with the right</w:t>
      </w:r>
      <w:r>
        <w:t xml:space="preserve"> </w:t>
      </w:r>
      <w:r>
        <w:t xml:space="preserve">av-analysis-of</w:t>
      </w:r>
      <w:r>
        <w:t xml:space="preserve"> </w:t>
      </w:r>
      <w:r>
        <w:t xml:space="preserve">relationship type.</w:t>
      </w:r>
    </w:p>
    <w:p>
      <w:pPr>
        <w:numPr>
          <w:ilvl w:val="0"/>
          <w:numId w:val="1003"/>
        </w:numPr>
      </w:pPr>
      <w:r>
        <w:t xml:space="preserve">Property descriptions fixed in</w:t>
      </w:r>
      <w:r>
        <w:t xml:space="preserve"> </w:t>
      </w:r>
      <w:r>
        <w:rPr>
          <w:i/>
          <w:iCs/>
        </w:rPr>
        <w:t xml:space="preserve">Section 6.6.1 - Email Message Object Properties</w:t>
      </w:r>
      <w:r>
        <w:t xml:space="preserve">.</w:t>
      </w:r>
    </w:p>
    <w:p>
      <w:pPr>
        <w:numPr>
          <w:ilvl w:val="1"/>
          <w:numId w:val="1006"/>
        </w:numPr>
      </w:pPr>
      <w:r>
        <w:rPr>
          <w:b/>
          <w:bCs/>
        </w:rPr>
        <w:t xml:space="preserve">from_ref</w:t>
      </w:r>
      <w:r>
        <w:t xml:space="preserve">,</w:t>
      </w:r>
      <w:r>
        <w:t xml:space="preserve"> </w:t>
      </w:r>
      <w:r>
        <w:rPr>
          <w:b/>
          <w:bCs/>
        </w:rPr>
        <w:t xml:space="preserve">sender_ref</w:t>
      </w:r>
      <w:r>
        <w:t xml:space="preserve">,</w:t>
      </w:r>
      <w:r>
        <w:t xml:space="preserve"> </w:t>
      </w:r>
      <w:r>
        <w:rPr>
          <w:b/>
          <w:bCs/>
        </w:rPr>
        <w:t xml:space="preserve">to_refs</w:t>
      </w:r>
      <w:r>
        <w:t xml:space="preserve">,</w:t>
      </w:r>
      <w:r>
        <w:t xml:space="preserve"> </w:t>
      </w:r>
      <w:r>
        <w:rPr>
          <w:b/>
          <w:bCs/>
        </w:rPr>
        <w:t xml:space="preserve">cc_refs</w:t>
      </w:r>
      <w:r>
        <w:t xml:space="preserve"> </w:t>
      </w:r>
      <w:r>
        <w:t xml:space="preserve">and</w:t>
      </w:r>
      <w:r>
        <w:t xml:space="preserve"> </w:t>
      </w:r>
      <w:r>
        <w:rPr>
          <w:b/>
          <w:bCs/>
        </w:rPr>
        <w:t xml:space="preserve">bcc_refs</w:t>
      </w:r>
      <w:r>
        <w:t xml:space="preserve"> </w:t>
      </w:r>
      <w:r>
        <w:t xml:space="preserve">properties descriptions now mention the right</w:t>
      </w:r>
      <w:r>
        <w:t xml:space="preserve"> </w:t>
      </w:r>
      <w:r>
        <w:t xml:space="preserve">email-addr</w:t>
      </w:r>
      <w:r>
        <w:t xml:space="preserve"> </w:t>
      </w:r>
      <w:r>
        <w:t xml:space="preserve">type they are referencing.</w:t>
      </w:r>
    </w:p>
    <w:p>
      <w:pPr>
        <w:numPr>
          <w:ilvl w:val="0"/>
          <w:numId w:val="1003"/>
        </w:numPr>
      </w:pPr>
      <w:r>
        <w:t xml:space="preserve">Examples fixed in</w:t>
      </w:r>
      <w:r>
        <w:t xml:space="preserve"> </w:t>
      </w:r>
      <w:r>
        <w:rPr>
          <w:i/>
          <w:iCs/>
        </w:rPr>
        <w:t xml:space="preserve">Section 6.12.2.1 - HTTP Request Extension Properties</w:t>
      </w:r>
      <w:r>
        <w:t xml:space="preserve">.</w:t>
      </w:r>
    </w:p>
    <w:p>
      <w:pPr>
        <w:numPr>
          <w:ilvl w:val="1"/>
          <w:numId w:val="1007"/>
        </w:numPr>
      </w:pPr>
      <w:r>
        <w:t xml:space="preserve">the</w:t>
      </w:r>
      <w:r>
        <w:t xml:space="preserve"> </w:t>
      </w:r>
      <w:r>
        <w:rPr>
          <w:b/>
          <w:bCs/>
        </w:rPr>
        <w:t xml:space="preserve">request_header</w:t>
      </w:r>
      <w:r>
        <w:t xml:space="preserve"> </w:t>
      </w:r>
      <w:r>
        <w:t xml:space="preserve">property is now a</w:t>
      </w:r>
      <w:r>
        <w:t xml:space="preserve"> </w:t>
      </w:r>
      <w:r>
        <w:t xml:space="preserve">list</w:t>
      </w:r>
      <w:r>
        <w:t xml:space="preserve"> </w:t>
      </w:r>
      <w:r>
        <w:t xml:space="preserve">of type</w:t>
      </w:r>
      <w:r>
        <w:t xml:space="preserve"> </w:t>
      </w:r>
      <w:r>
        <w:t xml:space="preserve">string</w:t>
      </w:r>
      <w:r>
        <w:t xml:space="preserve"> </w:t>
      </w:r>
      <w:r>
        <w:t xml:space="preserve">in the examples, as expected from the description.</w:t>
      </w:r>
    </w:p>
    <w:p>
      <w:pPr>
        <w:numPr>
          <w:ilvl w:val="0"/>
          <w:numId w:val="1003"/>
        </w:numPr>
      </w:pPr>
      <w:r>
        <w:t xml:space="preserve">Example fixed in</w:t>
      </w:r>
      <w:r>
        <w:t xml:space="preserve"> </w:t>
      </w:r>
      <w:r>
        <w:rPr>
          <w:i/>
          <w:iCs/>
        </w:rPr>
        <w:t xml:space="preserve">Section 9.5.1 - Observation Expression Qualifiers</w:t>
      </w:r>
      <w:r>
        <w:t xml:space="preserve">.</w:t>
      </w:r>
    </w:p>
    <w:p>
      <w:pPr>
        <w:numPr>
          <w:ilvl w:val="1"/>
          <w:numId w:val="1008"/>
        </w:numPr>
      </w:pPr>
      <w:r>
        <w:t xml:space="preserve">the example used to illustrate the use of</w:t>
      </w:r>
      <w:r>
        <w:t xml:space="preserve"> </w:t>
      </w:r>
      <w:r>
        <w:rPr>
          <w:i/>
          <w:iCs/>
        </w:rPr>
        <w:t xml:space="preserve">Observation Expression</w:t>
      </w:r>
      <w:r>
        <w:t xml:space="preserve"> </w:t>
      </w:r>
      <w:r>
        <w:t xml:space="preserve">WITHIN</w:t>
      </w:r>
      <w:r>
        <w:t xml:space="preserve"> </w:t>
      </w:r>
      <w:r>
        <w:rPr>
          <w:i/>
          <w:iCs/>
        </w:rPr>
        <w:t xml:space="preserve">x</w:t>
      </w:r>
      <w:r>
        <w:t xml:space="preserve"> </w:t>
      </w:r>
      <w:r>
        <w:t xml:space="preserve">SECONDS</w:t>
      </w:r>
      <w:r>
        <w:t xml:space="preserve"> </w:t>
      </w:r>
      <w:r>
        <w:t xml:space="preserve">now has the right</w:t>
      </w:r>
      <w:r>
        <w:t xml:space="preserve"> </w:t>
      </w:r>
      <w:r>
        <w:t xml:space="preserve">windows-registry-key</w:t>
      </w:r>
      <w:r>
        <w:t xml:space="preserve"> </w:t>
      </w:r>
      <w:r>
        <w:t xml:space="preserve">Observable type.</w:t>
      </w:r>
    </w:p>
    <w:p>
      <w:pPr>
        <w:numPr>
          <w:ilvl w:val="0"/>
          <w:numId w:val="1003"/>
        </w:numPr>
      </w:pPr>
      <w:r>
        <w:t xml:space="preserve">Updated</w:t>
      </w:r>
      <w:r>
        <w:t xml:space="preserve"> </w:t>
      </w:r>
      <w:r>
        <w:rPr>
          <w:i/>
          <w:iCs/>
        </w:rPr>
        <w:t xml:space="preserve">Section 10.9 - Implementation Language Vocabulary</w:t>
      </w:r>
      <w:r>
        <w:t xml:space="preserve">.</w:t>
      </w:r>
    </w:p>
    <w:p>
      <w:pPr>
        <w:numPr>
          <w:ilvl w:val="1"/>
          <w:numId w:val="1009"/>
        </w:numPr>
      </w:pPr>
      <w:r>
        <w:t xml:space="preserve">rust</w:t>
      </w:r>
      <w:r>
        <w:t xml:space="preserve"> </w:t>
      </w:r>
      <w:r>
        <w:t xml:space="preserve">value was added.</w:t>
      </w:r>
    </w:p>
    <w:p>
      <w:pPr>
        <w:numPr>
          <w:ilvl w:val="0"/>
          <w:numId w:val="1003"/>
        </w:numPr>
      </w:pPr>
      <w:r>
        <w:t xml:space="preserve">Updated</w:t>
      </w:r>
      <w:r>
        <w:t xml:space="preserve"> </w:t>
      </w:r>
      <w:r>
        <w:rPr>
          <w:i/>
          <w:iCs/>
        </w:rPr>
        <w:t xml:space="preserve">Section 10.11 - Industry Sector Vocabulary</w:t>
      </w:r>
      <w:r>
        <w:t xml:space="preserve">.</w:t>
      </w:r>
    </w:p>
    <w:p>
      <w:pPr>
        <w:numPr>
          <w:ilvl w:val="1"/>
          <w:numId w:val="1010"/>
        </w:numPr>
      </w:pPr>
      <w:r>
        <w:t xml:space="preserve">legal</w:t>
      </w:r>
      <w:r>
        <w:t xml:space="preserve"> </w:t>
      </w:r>
      <w:r>
        <w:t xml:space="preserve">value was added.</w:t>
      </w:r>
    </w:p>
    <w:p>
      <w:pPr>
        <w:numPr>
          <w:ilvl w:val="0"/>
          <w:numId w:val="1003"/>
        </w:numPr>
      </w:pPr>
      <w:r>
        <w:t xml:space="preserve">Fixed summary in</w:t>
      </w:r>
      <w:r>
        <w:t xml:space="preserve"> </w:t>
      </w:r>
      <w:r>
        <w:rPr>
          <w:i/>
          <w:iCs/>
        </w:rPr>
        <w:t xml:space="preserve">Section 10.12 - Infrastructure Type Vocabulary</w:t>
      </w:r>
      <w:r>
        <w:t xml:space="preserve">.</w:t>
      </w:r>
    </w:p>
    <w:p>
      <w:pPr>
        <w:numPr>
          <w:ilvl w:val="1"/>
          <w:numId w:val="1011"/>
        </w:numPr>
      </w:pPr>
      <w:r>
        <w:t xml:space="preserve">missing</w:t>
      </w:r>
      <w:r>
        <w:t xml:space="preserve"> </w:t>
      </w:r>
      <w:r>
        <w:t xml:space="preserve">control-system</w:t>
      </w:r>
      <w:r>
        <w:t xml:space="preserve">,</w:t>
      </w:r>
      <w:r>
        <w:t xml:space="preserve"> </w:t>
      </w:r>
      <w:r>
        <w:t xml:space="preserve">firewall</w:t>
      </w:r>
      <w:r>
        <w:t xml:space="preserve">,</w:t>
      </w:r>
      <w:r>
        <w:t xml:space="preserve"> </w:t>
      </w:r>
      <w:r>
        <w:t xml:space="preserve">routers-switches</w:t>
      </w:r>
      <w:r>
        <w:t xml:space="preserve"> </w:t>
      </w:r>
      <w:r>
        <w:t xml:space="preserve">and</w:t>
      </w:r>
      <w:r>
        <w:t xml:space="preserve"> </w:t>
      </w:r>
      <w:r>
        <w:t xml:space="preserve">workstation</w:t>
      </w:r>
      <w:r>
        <w:t xml:space="preserve"> </w:t>
      </w:r>
      <w:r>
        <w:t xml:space="preserve">values were added to the Summary as they were already described in the Vocabulary table.</w:t>
      </w:r>
    </w:p>
    <w:p>
      <w:pPr>
        <w:numPr>
          <w:ilvl w:val="0"/>
          <w:numId w:val="1003"/>
        </w:numPr>
      </w:pPr>
      <w:r>
        <w:t xml:space="preserve">Enhanced descriptions in</w:t>
      </w:r>
      <w:r>
        <w:t xml:space="preserve"> </w:t>
      </w:r>
      <w:r>
        <w:rPr>
          <w:i/>
          <w:iCs/>
        </w:rPr>
        <w:t xml:space="preserve">Section 10.13 - Malware Result Vocabulary</w:t>
      </w:r>
      <w:r>
        <w:t xml:space="preserve">.</w:t>
      </w:r>
    </w:p>
    <w:p>
      <w:pPr>
        <w:numPr>
          <w:ilvl w:val="1"/>
          <w:numId w:val="1012"/>
        </w:numPr>
      </w:pPr>
      <w:r>
        <w:t xml:space="preserve">descriptions for every vocabulary values were improved with more descriptive definitions.</w:t>
      </w:r>
    </w:p>
    <w:p>
      <w:pPr>
        <w:numPr>
          <w:ilvl w:val="0"/>
          <w:numId w:val="1003"/>
        </w:numPr>
      </w:pPr>
      <w:r>
        <w:t xml:space="preserve">Fixed missing value in</w:t>
      </w:r>
      <w:r>
        <w:t xml:space="preserve"> </w:t>
      </w:r>
      <w:r>
        <w:rPr>
          <w:i/>
          <w:iCs/>
        </w:rPr>
        <w:t xml:space="preserve">Section 10.22 - Report Type Vocabulary</w:t>
      </w:r>
      <w:r>
        <w:t xml:space="preserve">.</w:t>
      </w:r>
    </w:p>
    <w:p>
      <w:pPr>
        <w:numPr>
          <w:ilvl w:val="1"/>
          <w:numId w:val="1013"/>
        </w:numPr>
      </w:pPr>
      <w:r>
        <w:t xml:space="preserve">incident</w:t>
      </w:r>
      <w:r>
        <w:t xml:space="preserve"> </w:t>
      </w:r>
      <w:r>
        <w:t xml:space="preserve">value was added.</w:t>
      </w:r>
    </w:p>
    <w:p>
      <w:pPr>
        <w:numPr>
          <w:ilvl w:val="0"/>
          <w:numId w:val="1003"/>
        </w:numPr>
      </w:pPr>
      <w:r>
        <w:t xml:space="preserve">Updated</w:t>
      </w:r>
      <w:r>
        <w:t xml:space="preserve"> </w:t>
      </w:r>
      <w:r>
        <w:rPr>
          <w:i/>
          <w:iCs/>
        </w:rPr>
        <w:t xml:space="preserve">Section 10.23 - Threat Actor Type Vocabulary</w:t>
      </w:r>
      <w:r>
        <w:t xml:space="preserve">.</w:t>
      </w:r>
    </w:p>
    <w:p>
      <w:pPr>
        <w:numPr>
          <w:ilvl w:val="1"/>
          <w:numId w:val="1014"/>
        </w:numPr>
      </w:pPr>
      <w:r>
        <w:t xml:space="preserve">private-sector</w:t>
      </w:r>
      <w:r>
        <w:t xml:space="preserve"> </w:t>
      </w:r>
      <w:r>
        <w:t xml:space="preserve">value was added.</w:t>
      </w:r>
    </w:p>
    <w:p>
      <w:pPr>
        <w:numPr>
          <w:ilvl w:val="0"/>
          <w:numId w:val="1003"/>
        </w:numPr>
      </w:pPr>
      <w:r>
        <w:t xml:space="preserve">Fixed multiple Enumeration headers</w:t>
      </w:r>
    </w:p>
    <w:p>
      <w:pPr>
        <w:numPr>
          <w:ilvl w:val="1"/>
          <w:numId w:val="1015"/>
        </w:numPr>
      </w:pPr>
      <w:r>
        <w:t xml:space="preserve">Enumerations now have the right headers, to differenciate enumerations from vocabularies, including:</w:t>
      </w:r>
    </w:p>
    <w:p>
      <w:pPr>
        <w:numPr>
          <w:ilvl w:val="2"/>
          <w:numId w:val="1016"/>
        </w:numPr>
      </w:pPr>
      <w:r>
        <w:rPr>
          <w:b/>
          <w:bCs/>
        </w:rPr>
        <w:t xml:space="preserve">Enumeration Name</w:t>
      </w:r>
      <w:r>
        <w:t xml:space="preserve"> </w:t>
      </w:r>
      <w:r>
        <w:t xml:space="preserve">is now used instead of</w:t>
      </w:r>
      <w:r>
        <w:t xml:space="preserve"> </w:t>
      </w:r>
      <w:r>
        <w:rPr>
          <w:b/>
          <w:bCs/>
        </w:rPr>
        <w:t xml:space="preserve">Vocabulary Name</w:t>
      </w:r>
    </w:p>
    <w:p>
      <w:pPr>
        <w:numPr>
          <w:ilvl w:val="2"/>
          <w:numId w:val="1016"/>
        </w:numPr>
      </w:pPr>
      <w:r>
        <w:rPr>
          <w:b/>
          <w:bCs/>
        </w:rPr>
        <w:t xml:space="preserve">Enumeration Summary</w:t>
      </w:r>
      <w:r>
        <w:t xml:space="preserve"> </w:t>
      </w:r>
      <w:r>
        <w:t xml:space="preserve">is now used instead of</w:t>
      </w:r>
      <w:r>
        <w:t xml:space="preserve"> </w:t>
      </w:r>
      <w:r>
        <w:rPr>
          <w:b/>
          <w:bCs/>
        </w:rPr>
        <w:t xml:space="preserve">Vocabulary Summary</w:t>
      </w:r>
    </w:p>
    <w:p>
      <w:pPr>
        <w:numPr>
          <w:ilvl w:val="2"/>
          <w:numId w:val="1016"/>
        </w:numPr>
      </w:pPr>
      <w:r>
        <w:rPr>
          <w:b/>
          <w:bCs/>
        </w:rPr>
        <w:t xml:space="preserve">Enumeration Value</w:t>
      </w:r>
      <w:r>
        <w:t xml:space="preserve"> </w:t>
      </w:r>
      <w:r>
        <w:t xml:space="preserve">is now used instead of</w:t>
      </w:r>
      <w:r>
        <w:t xml:space="preserve"> </w:t>
      </w:r>
      <w:r>
        <w:rPr>
          <w:b/>
          <w:bCs/>
        </w:rPr>
        <w:t xml:space="preserve">Vocabulary Value</w:t>
      </w:r>
    </w:p>
    <w:p>
      <w:pPr>
        <w:numPr>
          <w:ilvl w:val="1"/>
          <w:numId w:val="1015"/>
        </w:numPr>
      </w:pPr>
      <w:r>
        <w:t xml:space="preserve">These changes apply on:</w:t>
      </w:r>
    </w:p>
    <w:p>
      <w:pPr>
        <w:numPr>
          <w:ilvl w:val="2"/>
          <w:numId w:val="1017"/>
        </w:numPr>
      </w:pPr>
      <w:r>
        <w:rPr>
          <w:i/>
          <w:iCs/>
        </w:rPr>
        <w:t xml:space="preserve">Section 10.4 - Encryption Algorithm Enumeration</w:t>
      </w:r>
    </w:p>
    <w:p>
      <w:pPr>
        <w:numPr>
          <w:ilvl w:val="2"/>
          <w:numId w:val="1017"/>
        </w:numPr>
      </w:pPr>
      <w:r>
        <w:rPr>
          <w:i/>
          <w:iCs/>
        </w:rPr>
        <w:t xml:space="preserve">Section 10.5 - Extension Type Enumeration</w:t>
      </w:r>
    </w:p>
    <w:p>
      <w:pPr>
        <w:numPr>
          <w:ilvl w:val="2"/>
          <w:numId w:val="1017"/>
        </w:numPr>
      </w:pPr>
      <w:r>
        <w:rPr>
          <w:i/>
          <w:iCs/>
        </w:rPr>
        <w:t xml:space="preserve">Section 10.16 - Network Socket Address Family Enumeration</w:t>
      </w:r>
    </w:p>
    <w:p>
      <w:pPr>
        <w:numPr>
          <w:ilvl w:val="2"/>
          <w:numId w:val="1017"/>
        </w:numPr>
      </w:pPr>
      <w:r>
        <w:rPr>
          <w:i/>
          <w:iCs/>
        </w:rPr>
        <w:t xml:space="preserve">Section 10.17 - Network Socket Type Enumeration</w:t>
      </w:r>
    </w:p>
    <w:p>
      <w:pPr>
        <w:numPr>
          <w:ilvl w:val="2"/>
          <w:numId w:val="1017"/>
        </w:numPr>
      </w:pPr>
      <w:r>
        <w:rPr>
          <w:i/>
          <w:iCs/>
        </w:rPr>
        <w:t xml:space="preserve">Section 10.18 - Opinion Enumeration</w:t>
      </w:r>
    </w:p>
    <w:p>
      <w:pPr>
        <w:numPr>
          <w:ilvl w:val="2"/>
          <w:numId w:val="1017"/>
        </w:numPr>
      </w:pPr>
      <w:r>
        <w:rPr>
          <w:i/>
          <w:iCs/>
        </w:rPr>
        <w:t xml:space="preserve">Section 10.27 - Windows™ Integrity Level Enumeration</w:t>
      </w:r>
    </w:p>
    <w:p>
      <w:pPr>
        <w:numPr>
          <w:ilvl w:val="2"/>
          <w:numId w:val="1017"/>
        </w:numPr>
      </w:pPr>
      <w:r>
        <w:rPr>
          <w:i/>
          <w:iCs/>
        </w:rPr>
        <w:t xml:space="preserve">Section 10.29 - Windows™ Registry Datatype Enumeration</w:t>
      </w:r>
    </w:p>
    <w:p>
      <w:pPr>
        <w:numPr>
          <w:ilvl w:val="2"/>
          <w:numId w:val="1017"/>
        </w:numPr>
      </w:pPr>
      <w:r>
        <w:rPr>
          <w:i/>
          <w:iCs/>
        </w:rPr>
        <w:t xml:space="preserve">Section 10.30 - Windows™ Service Start Type Enumeration</w:t>
      </w:r>
    </w:p>
    <w:p>
      <w:pPr>
        <w:numPr>
          <w:ilvl w:val="2"/>
          <w:numId w:val="1017"/>
        </w:numPr>
      </w:pPr>
      <w:r>
        <w:rPr>
          <w:i/>
          <w:iCs/>
        </w:rPr>
        <w:t xml:space="preserve">Section 10.31 - Windows™ Service Type Enumeration</w:t>
      </w:r>
    </w:p>
    <w:p>
      <w:pPr>
        <w:numPr>
          <w:ilvl w:val="2"/>
          <w:numId w:val="1017"/>
        </w:numPr>
      </w:pPr>
      <w:r>
        <w:rPr>
          <w:i/>
          <w:iCs/>
        </w:rPr>
        <w:t xml:space="preserve">Section 10.32 - Windows™ Service Status Enumeration</w:t>
      </w:r>
    </w:p>
    <w:p>
      <w:pPr>
        <w:numPr>
          <w:ilvl w:val="0"/>
          <w:numId w:val="1003"/>
        </w:numPr>
      </w:pPr>
      <w:r>
        <w:t xml:space="preserve">Updated</w:t>
      </w:r>
      <w:r>
        <w:t xml:space="preserve"> </w:t>
      </w:r>
      <w:r>
        <w:rPr>
          <w:i/>
          <w:iCs/>
        </w:rPr>
        <w:t xml:space="preserve">Appendix B: Relationship Summary Table</w:t>
      </w:r>
      <w:r>
        <w:t xml:space="preserve">.</w:t>
      </w:r>
    </w:p>
    <w:p>
      <w:pPr>
        <w:numPr>
          <w:ilvl w:val="1"/>
          <w:numId w:val="1018"/>
        </w:numPr>
      </w:pPr>
      <w:r>
        <w:t xml:space="preserve">Duplicated relationship</w:t>
      </w:r>
      <w:r>
        <w:t xml:space="preserve"> </w:t>
      </w:r>
      <w:r>
        <w:t xml:space="preserve">located-at</w:t>
      </w:r>
      <w:r>
        <w:t xml:space="preserve"> </w:t>
      </w:r>
      <w:r>
        <w:t xml:space="preserve">between</w:t>
      </w:r>
      <w:r>
        <w:t xml:space="preserve"> </w:t>
      </w:r>
      <w:r>
        <w:t xml:space="preserve">threat-actor</w:t>
      </w:r>
      <w:r>
        <w:t xml:space="preserve"> </w:t>
      </w:r>
      <w:r>
        <w:t xml:space="preserve">and</w:t>
      </w:r>
      <w:r>
        <w:t xml:space="preserve"> </w:t>
      </w:r>
      <w:r>
        <w:t xml:space="preserve">location</w:t>
      </w:r>
      <w:r>
        <w:t xml:space="preserve"> </w:t>
      </w:r>
      <w:r>
        <w:t xml:space="preserve">has been removed.</w:t>
      </w:r>
    </w:p>
    <w:p>
      <w:pPr>
        <w:numPr>
          <w:ilvl w:val="1"/>
          <w:numId w:val="1018"/>
        </w:numPr>
      </w:pPr>
      <w:r>
        <w:t xml:space="preserve">Misspelled relationship</w:t>
      </w:r>
      <w:r>
        <w:t xml:space="preserve"> </w:t>
      </w:r>
      <w:r>
        <w:t xml:space="preserve">exfiltrates-to</w:t>
      </w:r>
      <w:r>
        <w:t xml:space="preserve"> </w:t>
      </w:r>
      <w:r>
        <w:t xml:space="preserve">between</w:t>
      </w:r>
      <w:r>
        <w:t xml:space="preserve"> </w:t>
      </w:r>
      <w:r>
        <w:t xml:space="preserve">malware</w:t>
      </w:r>
      <w:r>
        <w:t xml:space="preserve"> </w:t>
      </w:r>
      <w:r>
        <w:t xml:space="preserve">and</w:t>
      </w:r>
      <w:r>
        <w:t xml:space="preserve"> </w:t>
      </w:r>
      <w:r>
        <w:t xml:space="preserve">infrastructure</w:t>
      </w:r>
      <w:r>
        <w:t xml:space="preserve"> </w:t>
      </w:r>
      <w:r>
        <w:t xml:space="preserve">has been fixed.</w:t>
      </w:r>
    </w:p>
    <w:p>
      <w:pPr>
        <w:numPr>
          <w:ilvl w:val="1"/>
          <w:numId w:val="1018"/>
        </w:numPr>
      </w:pPr>
      <w:r>
        <w:t xml:space="preserve">Missing relationships have been added, including:</w:t>
      </w:r>
    </w:p>
    <w:p>
      <w:pPr>
        <w:numPr>
          <w:ilvl w:val="2"/>
          <w:numId w:val="1019"/>
        </w:numPr>
      </w:pPr>
      <w:r>
        <w:t xml:space="preserve">remediates</w:t>
      </w:r>
      <w:r>
        <w:t xml:space="preserve"> </w:t>
      </w:r>
      <w:r>
        <w:t xml:space="preserve">between</w:t>
      </w:r>
      <w:r>
        <w:t xml:space="preserve"> </w:t>
      </w:r>
      <w:r>
        <w:t xml:space="preserve">course-of-action</w:t>
      </w:r>
      <w:r>
        <w:t xml:space="preserve"> </w:t>
      </w:r>
      <w:r>
        <w:t xml:space="preserve">and</w:t>
      </w:r>
      <w:r>
        <w:t xml:space="preserve"> </w:t>
      </w:r>
      <w:r>
        <w:t xml:space="preserve">malware</w:t>
      </w:r>
    </w:p>
    <w:p>
      <w:pPr>
        <w:numPr>
          <w:ilvl w:val="2"/>
          <w:numId w:val="1019"/>
        </w:numPr>
      </w:pPr>
      <w:r>
        <w:t xml:space="preserve">remediates</w:t>
      </w:r>
      <w:r>
        <w:t xml:space="preserve"> </w:t>
      </w:r>
      <w:r>
        <w:t xml:space="preserve">between</w:t>
      </w:r>
      <w:r>
        <w:t xml:space="preserve"> </w:t>
      </w:r>
      <w:r>
        <w:t xml:space="preserve">course-of-action</w:t>
      </w:r>
      <w:r>
        <w:t xml:space="preserve"> </w:t>
      </w:r>
      <w:r>
        <w:t xml:space="preserve">and</w:t>
      </w:r>
      <w:r>
        <w:t xml:space="preserve"> </w:t>
      </w:r>
      <w:r>
        <w:t xml:space="preserve">vulnerability</w:t>
      </w:r>
    </w:p>
    <w:p>
      <w:pPr>
        <w:numPr>
          <w:ilvl w:val="2"/>
          <w:numId w:val="1019"/>
        </w:numPr>
      </w:pPr>
      <w:r>
        <w:t xml:space="preserve">uses</w:t>
      </w:r>
      <w:r>
        <w:t xml:space="preserve"> </w:t>
      </w:r>
      <w:r>
        <w:t xml:space="preserve">between</w:t>
      </w:r>
      <w:r>
        <w:t xml:space="preserve"> </w:t>
      </w:r>
      <w:r>
        <w:t xml:space="preserve">tool</w:t>
      </w:r>
      <w:r>
        <w:t xml:space="preserve"> </w:t>
      </w:r>
      <w:r>
        <w:t xml:space="preserve">and</w:t>
      </w:r>
      <w:r>
        <w:t xml:space="preserve"> </w:t>
      </w:r>
      <w:r>
        <w:t xml:space="preserve">infrastructure</w:t>
      </w:r>
    </w:p>
    <w:p>
      <w:pPr>
        <w:numPr>
          <w:ilvl w:val="2"/>
          <w:numId w:val="1019"/>
        </w:numPr>
      </w:pPr>
      <w:r>
        <w:t xml:space="preserve">resolves-to</w:t>
      </w:r>
      <w:r>
        <w:t xml:space="preserve"> </w:t>
      </w:r>
      <w:r>
        <w:t xml:space="preserve">between</w:t>
      </w:r>
      <w:r>
        <w:t xml:space="preserve"> </w:t>
      </w:r>
      <w:r>
        <w:t xml:space="preserve">domain-name</w:t>
      </w:r>
      <w:r>
        <w:t xml:space="preserve"> </w:t>
      </w:r>
      <w:r>
        <w:t xml:space="preserve">and</w:t>
      </w:r>
      <w:r>
        <w:t xml:space="preserve"> </w:t>
      </w:r>
      <w:r>
        <w:t xml:space="preserve">domain-name</w:t>
      </w:r>
    </w:p>
    <w:p>
      <w:pPr>
        <w:numPr>
          <w:ilvl w:val="2"/>
          <w:numId w:val="1019"/>
        </w:numPr>
      </w:pPr>
      <w:r>
        <w:t xml:space="preserve">resolves-to</w:t>
      </w:r>
      <w:r>
        <w:t xml:space="preserve"> </w:t>
      </w:r>
      <w:r>
        <w:t xml:space="preserve">between</w:t>
      </w:r>
      <w:r>
        <w:t xml:space="preserve"> </w:t>
      </w:r>
      <w:r>
        <w:t xml:space="preserve">domain-name</w:t>
      </w:r>
      <w:r>
        <w:t xml:space="preserve"> </w:t>
      </w:r>
      <w:r>
        <w:t xml:space="preserve">and</w:t>
      </w:r>
      <w:r>
        <w:t xml:space="preserve"> </w:t>
      </w:r>
      <w:r>
        <w:t xml:space="preserve">ipv4-addr</w:t>
      </w:r>
    </w:p>
    <w:p>
      <w:pPr>
        <w:numPr>
          <w:ilvl w:val="2"/>
          <w:numId w:val="1019"/>
        </w:numPr>
      </w:pPr>
      <w:r>
        <w:t xml:space="preserve">resolves-to</w:t>
      </w:r>
      <w:r>
        <w:t xml:space="preserve"> </w:t>
      </w:r>
      <w:r>
        <w:t xml:space="preserve">between</w:t>
      </w:r>
      <w:r>
        <w:t xml:space="preserve"> </w:t>
      </w:r>
      <w:r>
        <w:t xml:space="preserve">domain-name</w:t>
      </w:r>
      <w:r>
        <w:t xml:space="preserve"> </w:t>
      </w:r>
      <w:r>
        <w:t xml:space="preserve">and</w:t>
      </w:r>
      <w:r>
        <w:t xml:space="preserve"> </w:t>
      </w:r>
      <w:r>
        <w:t xml:space="preserve">ipv6-addr</w:t>
      </w:r>
    </w:p>
    <w:p>
      <w:pPr>
        <w:numPr>
          <w:ilvl w:val="2"/>
          <w:numId w:val="1019"/>
        </w:numPr>
      </w:pPr>
      <w:r>
        <w:t xml:space="preserve">resolves-to</w:t>
      </w:r>
      <w:r>
        <w:t xml:space="preserve"> </w:t>
      </w:r>
      <w:r>
        <w:t xml:space="preserve">between</w:t>
      </w:r>
      <w:r>
        <w:t xml:space="preserve"> </w:t>
      </w:r>
      <w:r>
        <w:t xml:space="preserve">ipv4-addr</w:t>
      </w:r>
      <w:r>
        <w:t xml:space="preserve"> </w:t>
      </w:r>
      <w:r>
        <w:t xml:space="preserve">and</w:t>
      </w:r>
      <w:r>
        <w:t xml:space="preserve"> </w:t>
      </w:r>
      <w:r>
        <w:t xml:space="preserve">mac-addr</w:t>
      </w:r>
    </w:p>
    <w:p>
      <w:pPr>
        <w:numPr>
          <w:ilvl w:val="2"/>
          <w:numId w:val="1019"/>
        </w:numPr>
      </w:pPr>
      <w:r>
        <w:t xml:space="preserve">belongs-to</w:t>
      </w:r>
      <w:r>
        <w:t xml:space="preserve"> </w:t>
      </w:r>
      <w:r>
        <w:t xml:space="preserve">between</w:t>
      </w:r>
      <w:r>
        <w:t xml:space="preserve"> </w:t>
      </w:r>
      <w:r>
        <w:t xml:space="preserve">ipv6-addr</w:t>
      </w:r>
      <w:r>
        <w:t xml:space="preserve"> </w:t>
      </w:r>
      <w:r>
        <w:t xml:space="preserve">and</w:t>
      </w:r>
      <w:r>
        <w:t xml:space="preserve"> </w:t>
      </w:r>
      <w:r>
        <w:t xml:space="preserve">autonomous-system</w:t>
      </w:r>
    </w:p>
    <w:p>
      <w:pPr>
        <w:numPr>
          <w:ilvl w:val="2"/>
          <w:numId w:val="1019"/>
        </w:numPr>
      </w:pPr>
      <w:r>
        <w:t xml:space="preserve">resolves-to</w:t>
      </w:r>
      <w:r>
        <w:t xml:space="preserve"> </w:t>
      </w:r>
      <w:r>
        <w:t xml:space="preserve">between</w:t>
      </w:r>
      <w:r>
        <w:t xml:space="preserve"> </w:t>
      </w:r>
      <w:r>
        <w:t xml:space="preserve">ipv4-addr</w:t>
      </w:r>
      <w:r>
        <w:t xml:space="preserve"> </w:t>
      </w:r>
      <w:r>
        <w:t xml:space="preserve">and</w:t>
      </w:r>
      <w:r>
        <w:t xml:space="preserve"> </w:t>
      </w:r>
      <w:r>
        <w:t xml:space="preserve">mac-addr</w:t>
      </w:r>
    </w:p>
    <w:p>
      <w:pPr>
        <w:numPr>
          <w:ilvl w:val="2"/>
          <w:numId w:val="1019"/>
        </w:numPr>
      </w:pPr>
      <w:r>
        <w:t xml:space="preserve">belongs-to</w:t>
      </w:r>
      <w:r>
        <w:t xml:space="preserve"> </w:t>
      </w:r>
      <w:r>
        <w:t xml:space="preserve">between</w:t>
      </w:r>
      <w:r>
        <w:t xml:space="preserve"> </w:t>
      </w:r>
      <w:r>
        <w:t xml:space="preserve">ipv6-addr</w:t>
      </w:r>
      <w:r>
        <w:t xml:space="preserve"> </w:t>
      </w:r>
      <w:r>
        <w:t xml:space="preserve">and</w:t>
      </w:r>
      <w:r>
        <w:t xml:space="preserve"> </w:t>
      </w:r>
      <w:r>
        <w:t xml:space="preserve">autonomous-system</w:t>
      </w:r>
    </w:p>
    <w:p>
      <w:pPr>
        <w:numPr>
          <w:ilvl w:val="0"/>
          <w:numId w:val="1003"/>
        </w:numPr>
      </w:pPr>
      <w:r>
        <w:t xml:space="preserve">Fixed typos in Extension Definition Additional Examples</w:t>
      </w:r>
    </w:p>
    <w:p>
      <w:pPr>
        <w:numPr>
          <w:ilvl w:val="1"/>
          <w:numId w:val="1020"/>
        </w:numPr>
      </w:pPr>
      <w:r>
        <w:t xml:space="preserve">typos were fixed in titles for</w:t>
      </w:r>
      <w:r>
        <w:t xml:space="preserve"> </w:t>
      </w:r>
      <w:r>
        <w:rPr>
          <w:i/>
          <w:iCs/>
        </w:rPr>
        <w:t xml:space="preserve">Section C.2.2 - Adding properties to an existing STIX object instance</w:t>
      </w:r>
      <w:r>
        <w:t xml:space="preserve"> </w:t>
      </w:r>
      <w:r>
        <w:t xml:space="preserve">and</w:t>
      </w:r>
      <w:r>
        <w:t xml:space="preserve"> </w:t>
      </w:r>
      <w:r>
        <w:rPr>
          <w:i/>
          <w:iCs/>
        </w:rPr>
        <w:t xml:space="preserve">Section C.2.3 - Adding properties to an existing STIX relationship object instance</w:t>
      </w:r>
      <w:r>
        <w:t xml:space="preserve">.</w:t>
      </w:r>
    </w:p>
    <w:p>
      <w:pPr>
        <w:numPr>
          <w:ilvl w:val="0"/>
          <w:numId w:val="1003"/>
        </w:numPr>
      </w:pPr>
      <w:r>
        <w:t xml:space="preserve">Special characters were fixed in some participants names in</w:t>
      </w:r>
      <w:r>
        <w:t xml:space="preserve"> </w:t>
      </w:r>
      <w:r>
        <w:rPr>
          <w:i/>
          <w:iCs/>
        </w:rPr>
        <w:t xml:space="preserve">Appendix F: Acknowledgments</w:t>
      </w:r>
      <w:r>
        <w:t xml:space="preserve">.</w:t>
      </w:r>
    </w:p>
    <w:p>
      <w:pPr>
        <w:numPr>
          <w:ilvl w:val="0"/>
          <w:numId w:val="1003"/>
        </w:numPr>
      </w:pPr>
      <w:r>
        <w:t xml:space="preserve">All SCO ids were updated in examples to agree with the</w:t>
      </w:r>
      <w:r>
        <w:t xml:space="preserve"> </w:t>
      </w:r>
      <w:r>
        <w:rPr>
          <w:rStyle w:val="VerbatimChar"/>
        </w:rPr>
        <w:t xml:space="preserve">generate_id</w:t>
      </w:r>
      <w:r>
        <w:t xml:space="preserve"> </w:t>
      </w:r>
      <w:r>
        <w:t xml:space="preserve">method in</w:t>
      </w:r>
      <w:r>
        <w:t xml:space="preserve"> </w:t>
      </w:r>
      <w:r>
        <w:rPr>
          <w:i/>
          <w:iCs/>
        </w:rPr>
        <w:t xml:space="preserve">python-stix2</w:t>
      </w:r>
      <w:r>
        <w:t xml:space="preserve"> </w:t>
      </w:r>
      <w:r>
        <w:t xml:space="preserve">library.</w:t>
      </w:r>
    </w:p>
    <w:p>
      <w:pPr>
        <w:numPr>
          <w:ilvl w:val="0"/>
          <w:numId w:val="1003"/>
        </w:numPr>
      </w:pPr>
      <w:r>
        <w:t xml:space="preserve">Included all changes based on ITU recommandations.</w:t>
      </w:r>
    </w:p>
    <w:p>
      <w:pPr>
        <w:numPr>
          <w:ilvl w:val="0"/>
          <w:numId w:val="1003"/>
        </w:numPr>
      </w:pPr>
      <w:r>
        <w:t xml:space="preserve">Improved references through the document.</w:t>
      </w:r>
    </w:p>
    <w:p>
      <w:pPr>
        <w:numPr>
          <w:ilvl w:val="1"/>
          <w:numId w:val="1021"/>
        </w:numPr>
      </w:pPr>
      <w:r>
        <w:t xml:space="preserve">missing references to sections were added at different places.</w:t>
      </w:r>
    </w:p>
    <w:p>
      <w:pPr>
        <w:numPr>
          <w:ilvl w:val="1"/>
          <w:numId w:val="1021"/>
        </w:numPr>
      </w:pPr>
      <w:r>
        <w:t xml:space="preserve">some references were fixed to point to the right section.</w:t>
      </w:r>
    </w:p>
    <w:p>
      <w:pPr>
        <w:numPr>
          <w:ilvl w:val="1"/>
          <w:numId w:val="1021"/>
        </w:numPr>
      </w:pPr>
      <w:r>
        <w:t xml:space="preserve">in the description of STIX object properties whose value is either a vocabulary or an enumeration, a reference poiting to the given vocabulary or enumeration was added.</w:t>
      </w:r>
    </w:p>
    <w:bookmarkEnd w:id="45"/>
    <w:bookmarkEnd w:id="46"/>
    <w:bookmarkStart w:id="47" w:name="X859b073d7e5a95a337a680b453cd9ab10fc927d"/>
    <w:p>
      <w:pPr>
        <w:pStyle w:val="Heading1"/>
      </w:pPr>
      <w:r>
        <w:t xml:space="preserve">Conformance</w:t>
      </w:r>
    </w:p>
    <w:p>
      <w:pPr>
        <w:pStyle w:val="FirstParagraph"/>
      </w:pPr>
      <w:r>
        <w:t xml:space="preserve">The conformance requirements stated in the OASIS Standard STIX Version 2.1 [STIX-v2.1] are not changed in any way by the publication of this Errata document.</w:t>
      </w:r>
    </w:p>
    <w:bookmarkEnd w:id="47"/>
    <w:bookmarkStart w:id="48" w:name="X006c9d3b6667aaf06958882560708ea28cb1739"/>
    <w:p>
      <w:pPr>
        <w:pStyle w:val="Heading1"/>
      </w:pPr>
      <w:r>
        <w:t xml:space="preserve">Normative References</w:t>
      </w:r>
    </w:p>
    <w:p>
      <w:pPr>
        <w:pStyle w:val="FirstParagraph"/>
      </w:pPr>
      <w:r>
        <w:t xml:space="preserve">The following documents are referenced in such a way that some or all of their content constitutes requirements of this document.</w:t>
      </w:r>
    </w:p>
    <w:p>
      <w:pPr>
        <w:pStyle w:val="BodyText"/>
      </w:pPr>
      <w:r>
        <w:rPr>
          <w:b/>
          <w:bCs/>
        </w:rPr>
        <w:t xml:space="preserve">[STIX-v2.1]</w:t>
      </w:r>
    </w:p>
    <w:p>
      <w:pPr>
        <w:pStyle w:val="BodyText"/>
      </w:pPr>
      <w:r>
        <w:t xml:space="preserve">STIX Version 2.1. Edited by Bret Jordan, Rich Piazza, and Trey Darley. 10 June 2021. OASIS Standard.</w:t>
      </w:r>
      <w:r>
        <w:t xml:space="preserve"> </w:t>
      </w:r>
      <w:hyperlink r:id="rId16">
        <w:r>
          <w:rPr>
            <w:rStyle w:val="Hyperlink"/>
          </w:rPr>
          <w:t xml:space="preserve">https://docs.oasis-open.org/cti/stix/v2.1/os/stix-v2.1-os.html</w:t>
        </w:r>
      </w:hyperlink>
      <w:r>
        <w:t xml:space="preserve">. Latest stage:</w:t>
      </w:r>
      <w:r>
        <w:t xml:space="preserve"> </w:t>
      </w:r>
      <w:hyperlink r:id="rId19">
        <w:r>
          <w:rPr>
            <w:rStyle w:val="Hyperlink"/>
          </w:rPr>
          <w:t xml:space="preserve">https://docs.oasis-open.org/cti/stix/v2.1/stix-v2.1.html</w:t>
        </w:r>
      </w:hyperlink>
      <w:r>
        <w:t xml:space="preserve">.</w:t>
      </w:r>
    </w:p>
    <w:bookmarkEnd w:id="48"/>
    <w:bookmarkStart w:id="49" w:name="X6b0c3906faef2979c8e0eaa14ff6dc8ee4cf4e0"/>
    <w:p>
      <w:pPr>
        <w:pStyle w:val="Heading1"/>
      </w:pPr>
      <w:r>
        <w:t xml:space="preserve">Acknowledgments</w:t>
      </w:r>
    </w:p>
    <w:p>
      <w:pPr>
        <w:pStyle w:val="FirstParagraph"/>
      </w:pPr>
      <w:r>
        <w:rPr>
          <w:b/>
          <w:bCs/>
        </w:rPr>
        <w:t xml:space="preserve">STIX Subcommittee Chairs:</w:t>
      </w:r>
    </w:p>
    <w:p>
      <w:pPr>
        <w:pStyle w:val="BodyText"/>
      </w:pPr>
      <w:r>
        <w:t xml:space="preserve">Christian Studer, CIRCL</w:t>
      </w:r>
    </w:p>
    <w:p>
      <w:pPr>
        <w:pStyle w:val="BodyText"/>
      </w:pPr>
      <w:r>
        <w:t xml:space="preserve">Stephan Relitz, Peraton</w:t>
      </w:r>
    </w:p>
    <w:p>
      <w:pPr>
        <w:pStyle w:val="BodyText"/>
      </w:pPr>
      <w:r>
        <w:rPr>
          <w:b/>
          <w:bCs/>
        </w:rPr>
        <w:t xml:space="preserve">Participants:</w:t>
      </w:r>
    </w:p>
    <w:p>
      <w:pPr>
        <w:pStyle w:val="BodyText"/>
      </w:pPr>
      <w:r>
        <w:t xml:space="preserve">The following individuals were members of the OASIS CTI Technical Committee during the creation of this specification and their contributions are gratefully acknowledged:</w:t>
      </w:r>
    </w:p>
    <w:p>
      <w:pPr>
        <w:pStyle w:val="BodyText"/>
      </w:pPr>
      <w:r>
        <w:t xml:space="preserve">Kai Li, 360 Enterprise Security Group</w:t>
      </w:r>
    </w:p>
    <w:p>
      <w:pPr>
        <w:pStyle w:val="BodyText"/>
      </w:pPr>
      <w:r>
        <w:t xml:space="preserve">shu li, 360 Enterprise Security Group</w:t>
      </w:r>
    </w:p>
    <w:p>
      <w:pPr>
        <w:pStyle w:val="BodyText"/>
      </w:pPr>
      <w:r>
        <w:t xml:space="preserve">qian yin, 360 Enterprise Security Group</w:t>
      </w:r>
    </w:p>
    <w:p>
      <w:pPr>
        <w:pStyle w:val="BodyText"/>
      </w:pPr>
      <w:r>
        <w:t xml:space="preserve">Xinhua Zheng, 360 Enterprise Security Group</w:t>
      </w:r>
    </w:p>
    <w:p>
      <w:pPr>
        <w:pStyle w:val="BodyText"/>
      </w:pPr>
      <w:r>
        <w:t xml:space="preserve">Robert Coderre, Accenture</w:t>
      </w:r>
    </w:p>
    <w:p>
      <w:pPr>
        <w:pStyle w:val="BodyText"/>
      </w:pPr>
      <w:r>
        <w:t xml:space="preserve">Kyle Maxwell, Accenture</w:t>
      </w:r>
    </w:p>
    <w:p>
      <w:pPr>
        <w:pStyle w:val="BodyText"/>
      </w:pPr>
      <w:r>
        <w:t xml:space="preserve">David Crawford, Aetna</w:t>
      </w:r>
    </w:p>
    <w:p>
      <w:pPr>
        <w:pStyle w:val="BodyText"/>
      </w:pPr>
      <w:r>
        <w:t xml:space="preserve">Marcos Orallo, Airbus Group SAS</w:t>
      </w:r>
    </w:p>
    <w:p>
      <w:pPr>
        <w:pStyle w:val="BodyText"/>
      </w:pPr>
      <w:r>
        <w:t xml:space="preserve">Roman Fiedler, AIT Austrian Institute of Technology</w:t>
      </w:r>
    </w:p>
    <w:p>
      <w:pPr>
        <w:pStyle w:val="BodyText"/>
      </w:pPr>
      <w:r>
        <w:t xml:space="preserve">Florian Skopik, AIT Austrian Institute of Technology</w:t>
      </w:r>
    </w:p>
    <w:p>
      <w:pPr>
        <w:pStyle w:val="BodyText"/>
      </w:pPr>
      <w:r>
        <w:t xml:space="preserve">Ryan Clough, Anomali</w:t>
      </w:r>
    </w:p>
    <w:p>
      <w:pPr>
        <w:pStyle w:val="BodyText"/>
      </w:pPr>
      <w:r>
        <w:t xml:space="preserve">Nicholas Hayden, Anomali</w:t>
      </w:r>
    </w:p>
    <w:p>
      <w:pPr>
        <w:pStyle w:val="BodyText"/>
      </w:pPr>
      <w:r>
        <w:t xml:space="preserve">Wei Huang, Anomali</w:t>
      </w:r>
    </w:p>
    <w:p>
      <w:pPr>
        <w:pStyle w:val="BodyText"/>
      </w:pPr>
      <w:r>
        <w:t xml:space="preserve">Russell Matbouli, Anomali</w:t>
      </w:r>
    </w:p>
    <w:p>
      <w:pPr>
        <w:pStyle w:val="BodyText"/>
      </w:pPr>
      <w:r>
        <w:t xml:space="preserve">Angela Nichols, Anomali</w:t>
      </w:r>
    </w:p>
    <w:p>
      <w:pPr>
        <w:pStyle w:val="BodyText"/>
      </w:pPr>
      <w:r>
        <w:t xml:space="preserve">Hugh Njemanze, Anomali</w:t>
      </w:r>
    </w:p>
    <w:p>
      <w:pPr>
        <w:pStyle w:val="BodyText"/>
      </w:pPr>
      <w:r>
        <w:t xml:space="preserve">Katie Pelusi, Anomali</w:t>
      </w:r>
    </w:p>
    <w:p>
      <w:pPr>
        <w:pStyle w:val="BodyText"/>
      </w:pPr>
      <w:r>
        <w:t xml:space="preserve">Patrick Maroney, AT&amp;T</w:t>
      </w:r>
    </w:p>
    <w:p>
      <w:pPr>
        <w:pStyle w:val="BodyText"/>
      </w:pPr>
      <w:r>
        <w:t xml:space="preserve">Dean Thompson, Australia and New Zealand Banking Group (ANZ Bank)</w:t>
      </w:r>
    </w:p>
    <w:p>
      <w:pPr>
        <w:pStyle w:val="BodyText"/>
      </w:pPr>
      <w:r>
        <w:t xml:space="preserve">Radu Marian, Bank of America</w:t>
      </w:r>
    </w:p>
    <w:p>
      <w:pPr>
        <w:pStyle w:val="BodyText"/>
      </w:pPr>
      <w:r>
        <w:t xml:space="preserve">Sounil Yu, Bank of America</w:t>
      </w:r>
    </w:p>
    <w:p>
      <w:pPr>
        <w:pStyle w:val="BodyText"/>
      </w:pPr>
      <w:r>
        <w:t xml:space="preserve">Vicky Laurens, Bank of Montreal</w:t>
      </w:r>
    </w:p>
    <w:p>
      <w:pPr>
        <w:pStyle w:val="BodyText"/>
      </w:pPr>
      <w:r>
        <w:t xml:space="preserve">Bret Jordan, Broadcom</w:t>
      </w:r>
    </w:p>
    <w:p>
      <w:pPr>
        <w:pStyle w:val="BodyText"/>
      </w:pPr>
      <w:r>
        <w:t xml:space="preserve">Trey Darley, CCB/CERT.be</w:t>
      </w:r>
    </w:p>
    <w:p>
      <w:pPr>
        <w:pStyle w:val="BodyText"/>
      </w:pPr>
      <w:r>
        <w:t xml:space="preserve">Alexandre Dulaunoy, CIRCL</w:t>
      </w:r>
    </w:p>
    <w:p>
      <w:pPr>
        <w:pStyle w:val="BodyText"/>
      </w:pPr>
      <w:r>
        <w:t xml:space="preserve">Andras Iklody, CIRCL</w:t>
      </w:r>
    </w:p>
    <w:p>
      <w:pPr>
        <w:pStyle w:val="BodyText"/>
      </w:pPr>
      <w:r>
        <w:t xml:space="preserve">Christian Studer, CIRCL</w:t>
      </w:r>
    </w:p>
    <w:p>
      <w:pPr>
        <w:pStyle w:val="BodyText"/>
      </w:pPr>
      <w:r>
        <w:t xml:space="preserve">Raphaël Vinot, CIRCL</w:t>
      </w:r>
    </w:p>
    <w:p>
      <w:pPr>
        <w:pStyle w:val="BodyText"/>
      </w:pPr>
      <w:r>
        <w:t xml:space="preserve">Syam Appala, Cisco Systems</w:t>
      </w:r>
    </w:p>
    <w:p>
      <w:pPr>
        <w:pStyle w:val="BodyText"/>
      </w:pPr>
      <w:r>
        <w:t xml:space="preserve">Ted Bedwell, Cisco Systems</w:t>
      </w:r>
    </w:p>
    <w:p>
      <w:pPr>
        <w:pStyle w:val="BodyText"/>
      </w:pPr>
      <w:r>
        <w:t xml:space="preserve">Pavan Reddy, Cisco Systems</w:t>
      </w:r>
    </w:p>
    <w:p>
      <w:pPr>
        <w:pStyle w:val="BodyText"/>
      </w:pPr>
      <w:r>
        <w:t xml:space="preserve">Omar Santos, Cisco Systems</w:t>
      </w:r>
    </w:p>
    <w:p>
      <w:pPr>
        <w:pStyle w:val="BodyText"/>
      </w:pPr>
      <w:r>
        <w:t xml:space="preserve">Sam Taghavi Zargar, Cisco Systems</w:t>
      </w:r>
    </w:p>
    <w:p>
      <w:pPr>
        <w:pStyle w:val="BodyText"/>
      </w:pPr>
      <w:r>
        <w:t xml:space="preserve">Jyoti Verma, Cisco Systems</w:t>
      </w:r>
    </w:p>
    <w:p>
      <w:pPr>
        <w:pStyle w:val="BodyText"/>
      </w:pPr>
      <w:r>
        <w:t xml:space="preserve">Jart Armin, Cyber Threat Intelligence Network, Inc. (CTIN)</w:t>
      </w:r>
    </w:p>
    <w:p>
      <w:pPr>
        <w:pStyle w:val="BodyText"/>
      </w:pPr>
      <w:r>
        <w:t xml:space="preserve">Doug DePeppe, Cyber Threat Intelligence Network, Inc. (CTIN)</w:t>
      </w:r>
    </w:p>
    <w:p>
      <w:pPr>
        <w:pStyle w:val="BodyText"/>
      </w:pPr>
      <w:r>
        <w:t xml:space="preserve">Jane Ginn, Cyber Threat Intelligence Network, Inc. (CTIN)</w:t>
      </w:r>
    </w:p>
    <w:p>
      <w:pPr>
        <w:pStyle w:val="BodyText"/>
      </w:pPr>
      <w:r>
        <w:t xml:space="preserve">Ben Ottoman, Cyber Threat Intelligence Network, Inc. (CTIN)</w:t>
      </w:r>
    </w:p>
    <w:p>
      <w:pPr>
        <w:pStyle w:val="BodyText"/>
      </w:pPr>
      <w:r>
        <w:t xml:space="preserve">David Powell, Cyber Threat Intelligence Network, Inc. (CTIN)</w:t>
      </w:r>
    </w:p>
    <w:p>
      <w:pPr>
        <w:pStyle w:val="BodyText"/>
      </w:pPr>
      <w:r>
        <w:t xml:space="preserve">Andreas Sfakianakis, Cyber Threat Intelligence Network, Inc. (CTIN)</w:t>
      </w:r>
    </w:p>
    <w:p>
      <w:pPr>
        <w:pStyle w:val="BodyText"/>
      </w:pPr>
      <w:r>
        <w:t xml:space="preserve">Anuj Goel, Cyware Labs</w:t>
      </w:r>
    </w:p>
    <w:p>
      <w:pPr>
        <w:pStyle w:val="BodyText"/>
      </w:pPr>
      <w:r>
        <w:t xml:space="preserve">Avkash Kathiriya, Cyware Labs</w:t>
      </w:r>
    </w:p>
    <w:p>
      <w:pPr>
        <w:pStyle w:val="BodyText"/>
      </w:pPr>
      <w:r>
        <w:t xml:space="preserve">Jaeden Hampton, DarkLight, Inc.</w:t>
      </w:r>
    </w:p>
    <w:p>
      <w:pPr>
        <w:pStyle w:val="BodyText"/>
      </w:pPr>
      <w:r>
        <w:t xml:space="preserve">Ryan Hohimer, DarkLight, Inc.</w:t>
      </w:r>
    </w:p>
    <w:p>
      <w:pPr>
        <w:pStyle w:val="BodyText"/>
      </w:pPr>
      <w:r>
        <w:t xml:space="preserve">Ryan Joyce, DarkLight, Inc.</w:t>
      </w:r>
    </w:p>
    <w:p>
      <w:pPr>
        <w:pStyle w:val="BodyText"/>
      </w:pPr>
      <w:r>
        <w:t xml:space="preserve">Shawn Riley, DarkLight, Inc.</w:t>
      </w:r>
    </w:p>
    <w:p>
      <w:pPr>
        <w:pStyle w:val="BodyText"/>
      </w:pPr>
      <w:r>
        <w:t xml:space="preserve">Ian Roberts, DarkLight, Inc.</w:t>
      </w:r>
    </w:p>
    <w:p>
      <w:pPr>
        <w:pStyle w:val="BodyText"/>
      </w:pPr>
      <w:r>
        <w:t xml:space="preserve">Andrew Byrne, Dell</w:t>
      </w:r>
    </w:p>
    <w:p>
      <w:pPr>
        <w:pStyle w:val="BodyText"/>
      </w:pPr>
      <w:r>
        <w:t xml:space="preserve">Jeff Odom, Dell</w:t>
      </w:r>
    </w:p>
    <w:p>
      <w:pPr>
        <w:pStyle w:val="BodyText"/>
      </w:pPr>
      <w:r>
        <w:t xml:space="preserve">Sreejith Padmajadevi, Dell</w:t>
      </w:r>
    </w:p>
    <w:p>
      <w:pPr>
        <w:pStyle w:val="BodyText"/>
      </w:pPr>
      <w:r>
        <w:t xml:space="preserve">Ravi Sharda, Dell</w:t>
      </w:r>
    </w:p>
    <w:p>
      <w:pPr>
        <w:pStyle w:val="BodyText"/>
      </w:pPr>
      <w:r>
        <w:t xml:space="preserve">Will Urbanski, Dell</w:t>
      </w:r>
    </w:p>
    <w:p>
      <w:pPr>
        <w:pStyle w:val="BodyText"/>
      </w:pPr>
      <w:r>
        <w:t xml:space="preserve">David Ailshire, DHS Office of Cybersecurity and Communications (CS&amp;C)</w:t>
      </w:r>
    </w:p>
    <w:p>
      <w:pPr>
        <w:pStyle w:val="BodyText"/>
      </w:pPr>
      <w:r>
        <w:t xml:space="preserve">Steven Fox, DHS Office of Cybersecurity and Communications (CS&amp;C)</w:t>
      </w:r>
    </w:p>
    <w:p>
      <w:pPr>
        <w:pStyle w:val="BodyText"/>
      </w:pPr>
      <w:r>
        <w:t xml:space="preserve">Taneika Hill, DHS Office of Cybersecurity and Communications (CS&amp;C)</w:t>
      </w:r>
    </w:p>
    <w:p>
      <w:pPr>
        <w:pStyle w:val="BodyText"/>
      </w:pPr>
      <w:r>
        <w:t xml:space="preserve">Evette Maynard-Noel, DHS Office of Cybersecurity and Communications (CS&amp;C)</w:t>
      </w:r>
    </w:p>
    <w:p>
      <w:pPr>
        <w:pStyle w:val="BodyText"/>
      </w:pPr>
      <w:r>
        <w:t xml:space="preserve">Jackie Eun Park, DHS Office of Cybersecurity and Communications (CS&amp;C)</w:t>
      </w:r>
    </w:p>
    <w:p>
      <w:pPr>
        <w:pStyle w:val="BodyText"/>
      </w:pPr>
      <w:r>
        <w:t xml:space="preserve">Sean Sobieraj, DHS Office of Cybersecurity and Communications (CS&amp;C)</w:t>
      </w:r>
    </w:p>
    <w:p>
      <w:pPr>
        <w:pStyle w:val="BodyText"/>
      </w:pPr>
      <w:r>
        <w:t xml:space="preserve">Marlon Taylor, DHS Office of Cybersecurity and Communications (CS&amp;C)</w:t>
      </w:r>
    </w:p>
    <w:p>
      <w:pPr>
        <w:pStyle w:val="BodyText"/>
      </w:pPr>
      <w:r>
        <w:t xml:space="preserve">Preston Werntz, DHS Office of Cybersecurity and Communications (CS&amp;C)</w:t>
      </w:r>
    </w:p>
    <w:p>
      <w:pPr>
        <w:pStyle w:val="BodyText"/>
      </w:pPr>
      <w:r>
        <w:t xml:space="preserve">Jörg Abraham, EclecticIQ</w:t>
      </w:r>
    </w:p>
    <w:p>
      <w:pPr>
        <w:pStyle w:val="BodyText"/>
      </w:pPr>
      <w:r>
        <w:t xml:space="preserve">wouter bolsterlee, EclecticIQ</w:t>
      </w:r>
    </w:p>
    <w:p>
      <w:pPr>
        <w:pStyle w:val="BodyText"/>
      </w:pPr>
      <w:r>
        <w:t xml:space="preserve">Adam Bradbury, EclecticIQ</w:t>
      </w:r>
    </w:p>
    <w:p>
      <w:pPr>
        <w:pStyle w:val="BodyText"/>
      </w:pPr>
      <w:r>
        <w:t xml:space="preserve">Marko Dragoljevic, EclecticIQ</w:t>
      </w:r>
    </w:p>
    <w:p>
      <w:pPr>
        <w:pStyle w:val="BodyText"/>
      </w:pPr>
      <w:r>
        <w:t xml:space="preserve">Oliver Gheorghe, EclecticIQ</w:t>
      </w:r>
    </w:p>
    <w:p>
      <w:pPr>
        <w:pStyle w:val="BodyText"/>
      </w:pPr>
      <w:r>
        <w:t xml:space="preserve">Joep Gommers, EclecticIQ</w:t>
      </w:r>
    </w:p>
    <w:p>
      <w:pPr>
        <w:pStyle w:val="BodyText"/>
      </w:pPr>
      <w:r>
        <w:t xml:space="preserve">Caitlin Huey, EclecticIQ</w:t>
      </w:r>
    </w:p>
    <w:p>
      <w:pPr>
        <w:pStyle w:val="BodyText"/>
      </w:pPr>
      <w:r>
        <w:t xml:space="preserve">Christopher O’Brien, EclecticIQ</w:t>
      </w:r>
    </w:p>
    <w:p>
      <w:pPr>
        <w:pStyle w:val="BodyText"/>
      </w:pPr>
      <w:r>
        <w:t xml:space="preserve">Sergey Polzunov, EclecticIQ</w:t>
      </w:r>
    </w:p>
    <w:p>
      <w:pPr>
        <w:pStyle w:val="BodyText"/>
      </w:pPr>
      <w:r>
        <w:t xml:space="preserve">Rutger Prins, EclecticIQ</w:t>
      </w:r>
    </w:p>
    <w:p>
      <w:pPr>
        <w:pStyle w:val="BodyText"/>
      </w:pPr>
      <w:r>
        <w:t xml:space="preserve">Aukjan van Belkum, EclecticIQ</w:t>
      </w:r>
    </w:p>
    <w:p>
      <w:pPr>
        <w:pStyle w:val="BodyText"/>
      </w:pPr>
      <w:r>
        <w:t xml:space="preserve">Raymon van der Velde, EclecticIQ</w:t>
      </w:r>
    </w:p>
    <w:p>
      <w:pPr>
        <w:pStyle w:val="BodyText"/>
      </w:pPr>
      <w:r>
        <w:t xml:space="preserve">Tom Vaughan, EclecticIQ</w:t>
      </w:r>
    </w:p>
    <w:p>
      <w:pPr>
        <w:pStyle w:val="BodyText"/>
      </w:pPr>
      <w:r>
        <w:t xml:space="preserve">Joseph Woodruff, EclecticIQ</w:t>
      </w:r>
    </w:p>
    <w:p>
      <w:pPr>
        <w:pStyle w:val="BodyText"/>
      </w:pPr>
      <w:r>
        <w:t xml:space="preserve">Ben Sooter, Electric Power Research Institute (EPRI)</w:t>
      </w:r>
    </w:p>
    <w:p>
      <w:pPr>
        <w:pStyle w:val="BodyText"/>
      </w:pPr>
      <w:r>
        <w:t xml:space="preserve">Chris Ricard, Financial Services Information Sharing and Analysis Center (FS-ISAC)</w:t>
      </w:r>
    </w:p>
    <w:p>
      <w:pPr>
        <w:pStyle w:val="BodyText"/>
      </w:pPr>
      <w:r>
        <w:t xml:space="preserve">Sean Barnum, FireEye, Inc.</w:t>
      </w:r>
    </w:p>
    <w:p>
      <w:pPr>
        <w:pStyle w:val="BodyText"/>
      </w:pPr>
      <w:r>
        <w:t xml:space="preserve">Phillip Boles, FireEye, Inc.</w:t>
      </w:r>
    </w:p>
    <w:p>
      <w:pPr>
        <w:pStyle w:val="BodyText"/>
      </w:pPr>
      <w:r>
        <w:t xml:space="preserve">Prasad Gaikwad, FireEye, Inc.</w:t>
      </w:r>
    </w:p>
    <w:p>
      <w:pPr>
        <w:pStyle w:val="BodyText"/>
      </w:pPr>
      <w:r>
        <w:t xml:space="preserve">Haripriya Gajendran, FireEye, Inc.</w:t>
      </w:r>
    </w:p>
    <w:p>
      <w:pPr>
        <w:pStyle w:val="BodyText"/>
      </w:pPr>
      <w:r>
        <w:t xml:space="preserve">Will Green, FireEye, Inc.</w:t>
      </w:r>
    </w:p>
    <w:p>
      <w:pPr>
        <w:pStyle w:val="BodyText"/>
      </w:pPr>
      <w:r>
        <w:t xml:space="preserve">Rajeev Jha, FireEye, Inc.</w:t>
      </w:r>
    </w:p>
    <w:p>
      <w:pPr>
        <w:pStyle w:val="BodyText"/>
      </w:pPr>
      <w:r>
        <w:t xml:space="preserve">Gary Katz, FireEye, Inc.</w:t>
      </w:r>
    </w:p>
    <w:p>
      <w:pPr>
        <w:pStyle w:val="BodyText"/>
      </w:pPr>
      <w:r>
        <w:t xml:space="preserve">Anuj Kumar, FireEye, Inc.</w:t>
      </w:r>
    </w:p>
    <w:p>
      <w:pPr>
        <w:pStyle w:val="BodyText"/>
      </w:pPr>
      <w:r>
        <w:t xml:space="preserve">James Meck, FireEye, Inc.</w:t>
      </w:r>
    </w:p>
    <w:p>
      <w:pPr>
        <w:pStyle w:val="BodyText"/>
      </w:pPr>
      <w:r>
        <w:t xml:space="preserve">Shyamal Pandya, FireEye, Inc.</w:t>
      </w:r>
    </w:p>
    <w:p>
      <w:pPr>
        <w:pStyle w:val="BodyText"/>
      </w:pPr>
      <w:r>
        <w:t xml:space="preserve">Paul Patrick, FireEye, Inc.</w:t>
      </w:r>
    </w:p>
    <w:p>
      <w:pPr>
        <w:pStyle w:val="BodyText"/>
      </w:pPr>
      <w:r>
        <w:t xml:space="preserve">Remko Weterings, FireEye, Inc.</w:t>
      </w:r>
    </w:p>
    <w:p>
      <w:pPr>
        <w:pStyle w:val="BodyText"/>
      </w:pPr>
      <w:r>
        <w:t xml:space="preserve">Tim Jones, ForeScout</w:t>
      </w:r>
    </w:p>
    <w:p>
      <w:pPr>
        <w:pStyle w:val="BodyText"/>
      </w:pPr>
      <w:r>
        <w:t xml:space="preserve">Ryusuke Masuoka, Fujitsu Limited</w:t>
      </w:r>
    </w:p>
    <w:p>
      <w:pPr>
        <w:pStyle w:val="BodyText"/>
      </w:pPr>
      <w:r>
        <w:t xml:space="preserve">Daisuke Murabayashi, Fujitsu Limited</w:t>
      </w:r>
    </w:p>
    <w:p>
      <w:pPr>
        <w:pStyle w:val="BodyText"/>
      </w:pPr>
      <w:r>
        <w:t xml:space="preserve">Derek Northrope, Fujitsu Limited</w:t>
      </w:r>
    </w:p>
    <w:p>
      <w:pPr>
        <w:pStyle w:val="BodyText"/>
      </w:pPr>
      <w:r>
        <w:t xml:space="preserve">Toshitaka Satomi, Fujitsu Limited</w:t>
      </w:r>
    </w:p>
    <w:p>
      <w:pPr>
        <w:pStyle w:val="BodyText"/>
      </w:pPr>
      <w:r>
        <w:t xml:space="preserve">Koji Yamada, Fujitsu Limited</w:t>
      </w:r>
    </w:p>
    <w:p>
      <w:pPr>
        <w:pStyle w:val="BodyText"/>
      </w:pPr>
      <w:r>
        <w:t xml:space="preserve">Kunihiko Yoshimura, Fujitsu Limited</w:t>
      </w:r>
    </w:p>
    <w:p>
      <w:pPr>
        <w:pStyle w:val="BodyText"/>
      </w:pPr>
      <w:r>
        <w:t xml:space="preserve">Robert van Engelen, Genivia</w:t>
      </w:r>
    </w:p>
    <w:p>
      <w:pPr>
        <w:pStyle w:val="BodyText"/>
      </w:pPr>
      <w:r>
        <w:t xml:space="preserve">Eric Burger, Georgetown University</w:t>
      </w:r>
    </w:p>
    <w:p>
      <w:pPr>
        <w:pStyle w:val="BodyText"/>
      </w:pPr>
      <w:r>
        <w:t xml:space="preserve">Allison Miller, Google Inc.</w:t>
      </w:r>
    </w:p>
    <w:p>
      <w:pPr>
        <w:pStyle w:val="BodyText"/>
      </w:pPr>
      <w:r>
        <w:t xml:space="preserve">Mark Risher, Google Inc.</w:t>
      </w:r>
    </w:p>
    <w:p>
      <w:pPr>
        <w:pStyle w:val="BodyText"/>
      </w:pPr>
      <w:r>
        <w:t xml:space="preserve">Yoshihide Kawada, Hitachi, Ltd.</w:t>
      </w:r>
    </w:p>
    <w:p>
      <w:pPr>
        <w:pStyle w:val="BodyText"/>
      </w:pPr>
      <w:r>
        <w:t xml:space="preserve">Jun Nakanishi, Hitachi, Ltd.</w:t>
      </w:r>
    </w:p>
    <w:p>
      <w:pPr>
        <w:pStyle w:val="BodyText"/>
      </w:pPr>
      <w:r>
        <w:t xml:space="preserve">Kazuo Noguchi, Hitachi, Ltd.</w:t>
      </w:r>
    </w:p>
    <w:p>
      <w:pPr>
        <w:pStyle w:val="BodyText"/>
      </w:pPr>
      <w:r>
        <w:t xml:space="preserve">Akihito Sawada, Hitachi, Ltd.</w:t>
      </w:r>
    </w:p>
    <w:p>
      <w:pPr>
        <w:pStyle w:val="BodyText"/>
      </w:pPr>
      <w:r>
        <w:t xml:space="preserve">Yutaka Takami, Hitachi, Ltd.</w:t>
      </w:r>
    </w:p>
    <w:p>
      <w:pPr>
        <w:pStyle w:val="BodyText"/>
      </w:pPr>
      <w:r>
        <w:t xml:space="preserve">Masato Terada, Hitachi, Ltd.</w:t>
      </w:r>
    </w:p>
    <w:p>
      <w:pPr>
        <w:pStyle w:val="BodyText"/>
      </w:pPr>
      <w:r>
        <w:t xml:space="preserve">Adrian Bishop, Huntsman Security</w:t>
      </w:r>
    </w:p>
    <w:p>
      <w:pPr>
        <w:pStyle w:val="BodyText"/>
      </w:pPr>
      <w:r>
        <w:t xml:space="preserve">Eldan Ben-Haim, IBM</w:t>
      </w:r>
    </w:p>
    <w:p>
      <w:pPr>
        <w:pStyle w:val="BodyText"/>
      </w:pPr>
      <w:r>
        <w:t xml:space="preserve">Allen Hadden, IBM</w:t>
      </w:r>
    </w:p>
    <w:p>
      <w:pPr>
        <w:pStyle w:val="BodyText"/>
      </w:pPr>
      <w:r>
        <w:t xml:space="preserve">Sandra Hernandez, IBM</w:t>
      </w:r>
    </w:p>
    <w:p>
      <w:pPr>
        <w:pStyle w:val="BodyText"/>
      </w:pPr>
      <w:r>
        <w:t xml:space="preserve">Jason Keirstead, IBM</w:t>
      </w:r>
    </w:p>
    <w:p>
      <w:pPr>
        <w:pStyle w:val="BodyText"/>
      </w:pPr>
      <w:r>
        <w:t xml:space="preserve">Chenta Lee, IBM</w:t>
      </w:r>
    </w:p>
    <w:p>
      <w:pPr>
        <w:pStyle w:val="BodyText"/>
      </w:pPr>
      <w:r>
        <w:t xml:space="preserve">John Morris, IBM</w:t>
      </w:r>
    </w:p>
    <w:p>
      <w:pPr>
        <w:pStyle w:val="BodyText"/>
      </w:pPr>
      <w:r>
        <w:t xml:space="preserve">Devesh Parekh, IBM</w:t>
      </w:r>
    </w:p>
    <w:p>
      <w:pPr>
        <w:pStyle w:val="BodyText"/>
      </w:pPr>
      <w:r>
        <w:t xml:space="preserve">Emily Ratliff, IBM</w:t>
      </w:r>
    </w:p>
    <w:p>
      <w:pPr>
        <w:pStyle w:val="BodyText"/>
      </w:pPr>
      <w:r>
        <w:t xml:space="preserve">Nick Rossmann, IBM</w:t>
      </w:r>
    </w:p>
    <w:p>
      <w:pPr>
        <w:pStyle w:val="BodyText"/>
      </w:pPr>
      <w:r>
        <w:t xml:space="preserve">Laura Rusu, IBM</w:t>
      </w:r>
    </w:p>
    <w:p>
      <w:pPr>
        <w:pStyle w:val="BodyText"/>
      </w:pPr>
      <w:r>
        <w:t xml:space="preserve">Ron Williams, IBM</w:t>
      </w:r>
    </w:p>
    <w:p>
      <w:pPr>
        <w:pStyle w:val="BodyText"/>
      </w:pPr>
      <w:r>
        <w:t xml:space="preserve">Paul Martini, iboss, Inc.</w:t>
      </w:r>
    </w:p>
    <w:p>
      <w:pPr>
        <w:pStyle w:val="BodyText"/>
      </w:pPr>
      <w:r>
        <w:t xml:space="preserve">Vasileios Mavroeidis, IFI</w:t>
      </w:r>
    </w:p>
    <w:p>
      <w:pPr>
        <w:pStyle w:val="BodyText"/>
      </w:pPr>
      <w:r>
        <w:t xml:space="preserve">Kamer Vishi, IFI</w:t>
      </w:r>
    </w:p>
    <w:p>
      <w:pPr>
        <w:pStyle w:val="BodyText"/>
      </w:pPr>
      <w:r>
        <w:t xml:space="preserve">Joerg Eschweiler, Individual</w:t>
      </w:r>
    </w:p>
    <w:p>
      <w:pPr>
        <w:pStyle w:val="BodyText"/>
      </w:pPr>
      <w:r>
        <w:t xml:space="preserve">Elysa Jones, Individual</w:t>
      </w:r>
    </w:p>
    <w:p>
      <w:pPr>
        <w:pStyle w:val="BodyText"/>
      </w:pPr>
      <w:r>
        <w:t xml:space="preserve">Terry MacDonald, Individual</w:t>
      </w:r>
    </w:p>
    <w:p>
      <w:pPr>
        <w:pStyle w:val="BodyText"/>
      </w:pPr>
      <w:r>
        <w:t xml:space="preserve">Tim Casey, Intel Corporation</w:t>
      </w:r>
    </w:p>
    <w:p>
      <w:pPr>
        <w:pStyle w:val="BodyText"/>
      </w:pPr>
      <w:r>
        <w:t xml:space="preserve">Julie Modlin, Johns Hopkins University Applied Physics Laboratory</w:t>
      </w:r>
    </w:p>
    <w:p>
      <w:pPr>
        <w:pStyle w:val="BodyText"/>
      </w:pPr>
      <w:r>
        <w:t xml:space="preserve">Mark Moss, Johns Hopkins University Applied Physics Laboratory</w:t>
      </w:r>
    </w:p>
    <w:p>
      <w:pPr>
        <w:pStyle w:val="BodyText"/>
      </w:pPr>
      <w:r>
        <w:t xml:space="preserve">Mark Munoz, Johns Hopkins University Applied Physics Laboratory</w:t>
      </w:r>
    </w:p>
    <w:p>
      <w:pPr>
        <w:pStyle w:val="BodyText"/>
      </w:pPr>
      <w:r>
        <w:t xml:space="preserve">Nathan Reller, Johns Hopkins University Applied Physics Laboratory</w:t>
      </w:r>
    </w:p>
    <w:p>
      <w:pPr>
        <w:pStyle w:val="BodyText"/>
      </w:pPr>
      <w:r>
        <w:t xml:space="preserve">Pamela Smith, Johns Hopkins University Applied Physics Laboratory</w:t>
      </w:r>
    </w:p>
    <w:p>
      <w:pPr>
        <w:pStyle w:val="BodyText"/>
      </w:pPr>
      <w:r>
        <w:t xml:space="preserve">Vivek Jain, JPMorgan Chase Bank, N.A.</w:t>
      </w:r>
    </w:p>
    <w:p>
      <w:pPr>
        <w:pStyle w:val="BodyText"/>
      </w:pPr>
      <w:r>
        <w:t xml:space="preserve">Subodh Kumar, JPMorgan Chase Bank, N.A.</w:t>
      </w:r>
    </w:p>
    <w:p>
      <w:pPr>
        <w:pStyle w:val="BodyText"/>
      </w:pPr>
      <w:r>
        <w:t xml:space="preserve">David Laurance, JPMorgan Chase Bank, N.A.</w:t>
      </w:r>
    </w:p>
    <w:p>
      <w:pPr>
        <w:pStyle w:val="BodyText"/>
      </w:pPr>
      <w:r>
        <w:t xml:space="preserve">Russell Culpepper, Kaiser Permanente</w:t>
      </w:r>
    </w:p>
    <w:p>
      <w:pPr>
        <w:pStyle w:val="BodyText"/>
      </w:pPr>
      <w:r>
        <w:t xml:space="preserve">Beth Pumo, Kaiser Permanente</w:t>
      </w:r>
    </w:p>
    <w:p>
      <w:pPr>
        <w:pStyle w:val="BodyText"/>
      </w:pPr>
      <w:r>
        <w:t xml:space="preserve">Michael Slavick, Kaiser Permanente</w:t>
      </w:r>
    </w:p>
    <w:p>
      <w:pPr>
        <w:pStyle w:val="BodyText"/>
      </w:pPr>
      <w:r>
        <w:t xml:space="preserve">Daniel Ben-Chitrit, LookingGlass</w:t>
      </w:r>
    </w:p>
    <w:p>
      <w:pPr>
        <w:pStyle w:val="BodyText"/>
      </w:pPr>
      <w:r>
        <w:t xml:space="preserve">Wesley Brown, LookingGlass</w:t>
      </w:r>
    </w:p>
    <w:p>
      <w:pPr>
        <w:pStyle w:val="BodyText"/>
      </w:pPr>
      <w:r>
        <w:t xml:space="preserve">Dennis Hostetler, LookingGlass</w:t>
      </w:r>
    </w:p>
    <w:p>
      <w:pPr>
        <w:pStyle w:val="BodyText"/>
      </w:pPr>
      <w:r>
        <w:t xml:space="preserve">Himanshu Kesar, LookingGlass</w:t>
      </w:r>
    </w:p>
    <w:p>
      <w:pPr>
        <w:pStyle w:val="BodyText"/>
      </w:pPr>
      <w:r>
        <w:t xml:space="preserve">Matt Pladna, LookingGlass</w:t>
      </w:r>
    </w:p>
    <w:p>
      <w:pPr>
        <w:pStyle w:val="BodyText"/>
      </w:pPr>
      <w:r>
        <w:t xml:space="preserve">Vlad Serban, LookingGlass</w:t>
      </w:r>
    </w:p>
    <w:p>
      <w:pPr>
        <w:pStyle w:val="BodyText"/>
      </w:pPr>
      <w:r>
        <w:t xml:space="preserve">Allan Thomson, LookingGlass</w:t>
      </w:r>
    </w:p>
    <w:p>
      <w:pPr>
        <w:pStyle w:val="BodyText"/>
      </w:pPr>
      <w:r>
        <w:t xml:space="preserve">Chris Wood, LookingGlass</w:t>
      </w:r>
    </w:p>
    <w:p>
      <w:pPr>
        <w:pStyle w:val="BodyText"/>
      </w:pPr>
      <w:r>
        <w:t xml:space="preserve">Kent Landfield, McAfee</w:t>
      </w:r>
    </w:p>
    <w:p>
      <w:pPr>
        <w:pStyle w:val="BodyText"/>
      </w:pPr>
      <w:r>
        <w:t xml:space="preserve">Jonathan Baker, Mitre Corporation</w:t>
      </w:r>
    </w:p>
    <w:p>
      <w:pPr>
        <w:pStyle w:val="BodyText"/>
      </w:pPr>
      <w:r>
        <w:t xml:space="preserve">Desiree Beck, Mitre Corporation</w:t>
      </w:r>
    </w:p>
    <w:p>
      <w:pPr>
        <w:pStyle w:val="BodyText"/>
      </w:pPr>
      <w:r>
        <w:t xml:space="preserve">Michael Chisholm, Mitre Corporation</w:t>
      </w:r>
    </w:p>
    <w:p>
      <w:pPr>
        <w:pStyle w:val="BodyText"/>
      </w:pPr>
      <w:r>
        <w:t xml:space="preserve">Sam Cornwell, Mitre Corporation</w:t>
      </w:r>
    </w:p>
    <w:p>
      <w:pPr>
        <w:pStyle w:val="BodyText"/>
      </w:pPr>
      <w:r>
        <w:t xml:space="preserve">Sarah Kelley, Mitre Corporation</w:t>
      </w:r>
    </w:p>
    <w:p>
      <w:pPr>
        <w:pStyle w:val="BodyText"/>
      </w:pPr>
      <w:r>
        <w:t xml:space="preserve">Ivan Kirillov, Mitre Corporation</w:t>
      </w:r>
    </w:p>
    <w:p>
      <w:pPr>
        <w:pStyle w:val="BodyText"/>
      </w:pPr>
      <w:r>
        <w:t xml:space="preserve">Michael Kouremetis, Mitre Corporation</w:t>
      </w:r>
    </w:p>
    <w:p>
      <w:pPr>
        <w:pStyle w:val="BodyText"/>
      </w:pPr>
      <w:r>
        <w:t xml:space="preserve">Chris Lenk, Mitre Corporation</w:t>
      </w:r>
    </w:p>
    <w:p>
      <w:pPr>
        <w:pStyle w:val="BodyText"/>
      </w:pPr>
      <w:r>
        <w:t xml:space="preserve">Nicole Parrish, Mitre Corporation</w:t>
      </w:r>
    </w:p>
    <w:p>
      <w:pPr>
        <w:pStyle w:val="BodyText"/>
      </w:pPr>
      <w:r>
        <w:t xml:space="preserve">Richard Piazza, Mitre Corporation</w:t>
      </w:r>
    </w:p>
    <w:p>
      <w:pPr>
        <w:pStyle w:val="BodyText"/>
      </w:pPr>
      <w:r>
        <w:t xml:space="preserve">Larry Rodrigues, Mitre Corporation</w:t>
      </w:r>
    </w:p>
    <w:p>
      <w:pPr>
        <w:pStyle w:val="BodyText"/>
      </w:pPr>
      <w:r>
        <w:t xml:space="preserve">Jon Salwen, Mitre Corporation</w:t>
      </w:r>
    </w:p>
    <w:p>
      <w:pPr>
        <w:pStyle w:val="BodyText"/>
      </w:pPr>
      <w:r>
        <w:t xml:space="preserve">Charles Schmidt, Mitre Corporation</w:t>
      </w:r>
    </w:p>
    <w:p>
      <w:pPr>
        <w:pStyle w:val="BodyText"/>
      </w:pPr>
      <w:r>
        <w:t xml:space="preserve">Richard Struse, Mitre Corporation</w:t>
      </w:r>
    </w:p>
    <w:p>
      <w:pPr>
        <w:pStyle w:val="BodyText"/>
      </w:pPr>
      <w:r>
        <w:t xml:space="preserve">Alex Tweed, Mitre Corporation</w:t>
      </w:r>
    </w:p>
    <w:p>
      <w:pPr>
        <w:pStyle w:val="BodyText"/>
      </w:pPr>
      <w:r>
        <w:t xml:space="preserve">Emmanuelle Vargas-Gonzalez, Mitre Corporation</w:t>
      </w:r>
    </w:p>
    <w:p>
      <w:pPr>
        <w:pStyle w:val="BodyText"/>
      </w:pPr>
      <w:r>
        <w:t xml:space="preserve">John Wunder, Mitre Corporation</w:t>
      </w:r>
    </w:p>
    <w:p>
      <w:pPr>
        <w:pStyle w:val="BodyText"/>
      </w:pPr>
      <w:r>
        <w:t xml:space="preserve">James Cabral, MTG Management Consultants, LLC.</w:t>
      </w:r>
    </w:p>
    <w:p>
      <w:pPr>
        <w:pStyle w:val="BodyText"/>
      </w:pPr>
      <w:r>
        <w:t xml:space="preserve">Scott Algeier, National Council of ISACs (NCI)</w:t>
      </w:r>
    </w:p>
    <w:p>
      <w:pPr>
        <w:pStyle w:val="BodyText"/>
      </w:pPr>
      <w:r>
        <w:t xml:space="preserve">Denise Anderson, National Council of ISACs (NCI)</w:t>
      </w:r>
    </w:p>
    <w:p>
      <w:pPr>
        <w:pStyle w:val="BodyText"/>
      </w:pPr>
      <w:r>
        <w:t xml:space="preserve">Josh Poster, National Council of ISACs (NCI)</w:t>
      </w:r>
    </w:p>
    <w:p>
      <w:pPr>
        <w:pStyle w:val="BodyText"/>
      </w:pPr>
      <w:r>
        <w:t xml:space="preserve">Mike Boyle, National Security Agency</w:t>
      </w:r>
    </w:p>
    <w:p>
      <w:pPr>
        <w:pStyle w:val="BodyText"/>
      </w:pPr>
      <w:r>
        <w:t xml:space="preserve">Jessica Fitzgerald-McKay, National Security Agency</w:t>
      </w:r>
    </w:p>
    <w:p>
      <w:pPr>
        <w:pStyle w:val="BodyText"/>
      </w:pPr>
      <w:r>
        <w:t xml:space="preserve">David Kemp, National Security Agency</w:t>
      </w:r>
    </w:p>
    <w:p>
      <w:pPr>
        <w:pStyle w:val="BodyText"/>
      </w:pPr>
      <w:r>
        <w:t xml:space="preserve">Shaun McCullough, National Security Agency</w:t>
      </w:r>
    </w:p>
    <w:p>
      <w:pPr>
        <w:pStyle w:val="BodyText"/>
      </w:pPr>
      <w:r>
        <w:t xml:space="preserve">Jason Romano, National Security Agency</w:t>
      </w:r>
    </w:p>
    <w:p>
      <w:pPr>
        <w:pStyle w:val="BodyText"/>
      </w:pPr>
      <w:r>
        <w:t xml:space="preserve">John Anderson, NC4</w:t>
      </w:r>
    </w:p>
    <w:p>
      <w:pPr>
        <w:pStyle w:val="BodyText"/>
      </w:pPr>
      <w:r>
        <w:t xml:space="preserve">Michael Butt, NC4</w:t>
      </w:r>
    </w:p>
    <w:p>
      <w:pPr>
        <w:pStyle w:val="BodyText"/>
      </w:pPr>
      <w:r>
        <w:t xml:space="preserve">Mark Davidson, NC4</w:t>
      </w:r>
    </w:p>
    <w:p>
      <w:pPr>
        <w:pStyle w:val="BodyText"/>
      </w:pPr>
      <w:r>
        <w:t xml:space="preserve">Daniel Dye, NC4</w:t>
      </w:r>
    </w:p>
    <w:p>
      <w:pPr>
        <w:pStyle w:val="BodyText"/>
      </w:pPr>
      <w:r>
        <w:t xml:space="preserve">Michael Pepin, NC4</w:t>
      </w:r>
    </w:p>
    <w:p>
      <w:pPr>
        <w:pStyle w:val="BodyText"/>
      </w:pPr>
      <w:r>
        <w:t xml:space="preserve">Natalie Suarez, NC4</w:t>
      </w:r>
    </w:p>
    <w:p>
      <w:pPr>
        <w:pStyle w:val="BodyText"/>
      </w:pPr>
      <w:r>
        <w:t xml:space="preserve">Benjamin Yates, NC4</w:t>
      </w:r>
    </w:p>
    <w:p>
      <w:pPr>
        <w:pStyle w:val="BodyText"/>
      </w:pPr>
      <w:r>
        <w:t xml:space="preserve">Sarah Brown, NCI Agency</w:t>
      </w:r>
    </w:p>
    <w:p>
      <w:pPr>
        <w:pStyle w:val="BodyText"/>
      </w:pPr>
      <w:r>
        <w:t xml:space="preserve">Oscar Serrano, NCI Agency</w:t>
      </w:r>
    </w:p>
    <w:p>
      <w:pPr>
        <w:pStyle w:val="BodyText"/>
      </w:pPr>
      <w:r>
        <w:t xml:space="preserve">Daichi Hasumi, NEC Corporation</w:t>
      </w:r>
    </w:p>
    <w:p>
      <w:pPr>
        <w:pStyle w:val="BodyText"/>
      </w:pPr>
      <w:r>
        <w:t xml:space="preserve">Takahiro Kakumaru, NEC Corporation</w:t>
      </w:r>
    </w:p>
    <w:p>
      <w:pPr>
        <w:pStyle w:val="BodyText"/>
      </w:pPr>
      <w:r>
        <w:t xml:space="preserve">Lauri Korts-Parn, NEC Corporation</w:t>
      </w:r>
    </w:p>
    <w:p>
      <w:pPr>
        <w:pStyle w:val="BodyText"/>
      </w:pPr>
      <w:r>
        <w:t xml:space="preserve">Kelly Cullinane, New Context Services, Inc.</w:t>
      </w:r>
    </w:p>
    <w:p>
      <w:pPr>
        <w:pStyle w:val="BodyText"/>
      </w:pPr>
      <w:r>
        <w:t xml:space="preserve">John-Mark Gurney, New Context Services, Inc.</w:t>
      </w:r>
    </w:p>
    <w:p>
      <w:pPr>
        <w:pStyle w:val="BodyText"/>
      </w:pPr>
      <w:r>
        <w:t xml:space="preserve">Christian Hunt, New Context Services, Inc.</w:t>
      </w:r>
    </w:p>
    <w:p>
      <w:pPr>
        <w:pStyle w:val="BodyText"/>
      </w:pPr>
      <w:r>
        <w:t xml:space="preserve">Danny Purcell, New Context Services, Inc.</w:t>
      </w:r>
    </w:p>
    <w:p>
      <w:pPr>
        <w:pStyle w:val="BodyText"/>
      </w:pPr>
      <w:r>
        <w:t xml:space="preserve">Daniel Riedel, New Context Services, Inc.</w:t>
      </w:r>
    </w:p>
    <w:p>
      <w:pPr>
        <w:pStyle w:val="BodyText"/>
      </w:pPr>
      <w:r>
        <w:t xml:space="preserve">Andrew Storms, New Context Services, Inc.</w:t>
      </w:r>
    </w:p>
    <w:p>
      <w:pPr>
        <w:pStyle w:val="BodyText"/>
      </w:pPr>
      <w:r>
        <w:t xml:space="preserve">Drew Varner, NineFX, Inc.</w:t>
      </w:r>
    </w:p>
    <w:p>
      <w:pPr>
        <w:pStyle w:val="BodyText"/>
      </w:pPr>
      <w:r>
        <w:t xml:space="preserve">Stephen Banghart, NIST</w:t>
      </w:r>
    </w:p>
    <w:p>
      <w:pPr>
        <w:pStyle w:val="BodyText"/>
      </w:pPr>
      <w:r>
        <w:t xml:space="preserve">David Darnell, North American Energy Standards Board</w:t>
      </w:r>
    </w:p>
    <w:p>
      <w:pPr>
        <w:pStyle w:val="BodyText"/>
      </w:pPr>
      <w:r>
        <w:t xml:space="preserve">James Crossland, Northrop Grumman</w:t>
      </w:r>
    </w:p>
    <w:p>
      <w:pPr>
        <w:pStyle w:val="BodyText"/>
      </w:pPr>
      <w:r>
        <w:t xml:space="preserve">Robert Van Dyk, Northrop Grumman</w:t>
      </w:r>
    </w:p>
    <w:p>
      <w:pPr>
        <w:pStyle w:val="BodyText"/>
      </w:pPr>
      <w:r>
        <w:t xml:space="preserve">Cheolho Lee, NSRI</w:t>
      </w:r>
    </w:p>
    <w:p>
      <w:pPr>
        <w:pStyle w:val="BodyText"/>
      </w:pPr>
      <w:r>
        <w:t xml:space="preserve">Cory Casanave, Object Management Group</w:t>
      </w:r>
    </w:p>
    <w:p>
      <w:pPr>
        <w:pStyle w:val="BodyText"/>
      </w:pPr>
      <w:r>
        <w:t xml:space="preserve">Joel Myhre, Pacific Disaster Center</w:t>
      </w:r>
    </w:p>
    <w:p>
      <w:pPr>
        <w:pStyle w:val="BodyText"/>
      </w:pPr>
      <w:r>
        <w:t xml:space="preserve">Vishaal Hariprasad, Palo Alto Networks</w:t>
      </w:r>
    </w:p>
    <w:p>
      <w:pPr>
        <w:pStyle w:val="BodyText"/>
      </w:pPr>
      <w:r>
        <w:t xml:space="preserve">Stephan Relitz, Peraton</w:t>
      </w:r>
    </w:p>
    <w:p>
      <w:pPr>
        <w:pStyle w:val="BodyText"/>
      </w:pPr>
      <w:r>
        <w:t xml:space="preserve">Brad Bohen, Perch</w:t>
      </w:r>
    </w:p>
    <w:p>
      <w:pPr>
        <w:pStyle w:val="BodyText"/>
      </w:pPr>
      <w:r>
        <w:t xml:space="preserve">Aharon Chernin, Perch</w:t>
      </w:r>
    </w:p>
    <w:p>
      <w:pPr>
        <w:pStyle w:val="BodyText"/>
      </w:pPr>
      <w:r>
        <w:t xml:space="preserve">Zach Kanzler, Perch</w:t>
      </w:r>
    </w:p>
    <w:p>
      <w:pPr>
        <w:pStyle w:val="BodyText"/>
      </w:pPr>
      <w:r>
        <w:t xml:space="preserve">Michael Lane, Perch</w:t>
      </w:r>
    </w:p>
    <w:p>
      <w:pPr>
        <w:pStyle w:val="BodyText"/>
      </w:pPr>
      <w:r>
        <w:t xml:space="preserve">Michael Riggs, Perch</w:t>
      </w:r>
    </w:p>
    <w:p>
      <w:pPr>
        <w:pStyle w:val="BodyText"/>
      </w:pPr>
      <w:r>
        <w:t xml:space="preserve">Sean O’Brien, Purism SPC</w:t>
      </w:r>
    </w:p>
    <w:p>
      <w:pPr>
        <w:pStyle w:val="BodyText"/>
      </w:pPr>
      <w:r>
        <w:t xml:space="preserve">John Tolbert, Queralt Inc.</w:t>
      </w:r>
    </w:p>
    <w:p>
      <w:pPr>
        <w:pStyle w:val="BodyText"/>
      </w:pPr>
      <w:r>
        <w:t xml:space="preserve">Forrest Hare, Science Application International</w:t>
      </w:r>
    </w:p>
    <w:p>
      <w:pPr>
        <w:pStyle w:val="BodyText"/>
      </w:pPr>
      <w:r>
        <w:t xml:space="preserve">Duncan Sparrell, sFractal Consulting LLC</w:t>
      </w:r>
    </w:p>
    <w:p>
      <w:pPr>
        <w:pStyle w:val="BodyText"/>
      </w:pPr>
      <w:r>
        <w:t xml:space="preserve">Thomas Schreck, Siemens AG</w:t>
      </w:r>
    </w:p>
    <w:p>
      <w:pPr>
        <w:pStyle w:val="BodyText"/>
      </w:pPr>
      <w:r>
        <w:t xml:space="preserve">Adam Wyner, Swansea University</w:t>
      </w:r>
    </w:p>
    <w:p>
      <w:pPr>
        <w:pStyle w:val="BodyText"/>
      </w:pPr>
      <w:r>
        <w:t xml:space="preserve">Bret Jordan, Symantec Corp.</w:t>
      </w:r>
    </w:p>
    <w:p>
      <w:pPr>
        <w:pStyle w:val="BodyText"/>
      </w:pPr>
      <w:r>
        <w:t xml:space="preserve">Robert Keith, Symantec Corp.</w:t>
      </w:r>
    </w:p>
    <w:p>
      <w:pPr>
        <w:pStyle w:val="BodyText"/>
      </w:pPr>
      <w:r>
        <w:t xml:space="preserve">Curtis Kostrosky, Symantec Corp.</w:t>
      </w:r>
    </w:p>
    <w:p>
      <w:pPr>
        <w:pStyle w:val="BodyText"/>
      </w:pPr>
      <w:r>
        <w:t xml:space="preserve">Chris Larsen, Symantec Corp.</w:t>
      </w:r>
    </w:p>
    <w:p>
      <w:pPr>
        <w:pStyle w:val="BodyText"/>
      </w:pPr>
      <w:r>
        <w:t xml:space="preserve">Michael Mauch, Symantec Corp.</w:t>
      </w:r>
    </w:p>
    <w:p>
      <w:pPr>
        <w:pStyle w:val="BodyText"/>
      </w:pPr>
      <w:r>
        <w:t xml:space="preserve">Aubrey Merchant, Symantec Corp.</w:t>
      </w:r>
    </w:p>
    <w:p>
      <w:pPr>
        <w:pStyle w:val="BodyText"/>
      </w:pPr>
      <w:r>
        <w:t xml:space="preserve">Efrain Ortiz, Symantec Corp.</w:t>
      </w:r>
    </w:p>
    <w:p>
      <w:pPr>
        <w:pStyle w:val="BodyText"/>
      </w:pPr>
      <w:r>
        <w:t xml:space="preserve">Mingliang Pei, Symantec Corp.</w:t>
      </w:r>
    </w:p>
    <w:p>
      <w:pPr>
        <w:pStyle w:val="BodyText"/>
      </w:pPr>
      <w:r>
        <w:t xml:space="preserve">Kenneth Schneider, Symantec Corp.</w:t>
      </w:r>
    </w:p>
    <w:p>
      <w:pPr>
        <w:pStyle w:val="BodyText"/>
      </w:pPr>
      <w:r>
        <w:t xml:space="preserve">Arnaud Taddei, Symantec Corp.</w:t>
      </w:r>
    </w:p>
    <w:p>
      <w:pPr>
        <w:pStyle w:val="BodyText"/>
      </w:pPr>
      <w:r>
        <w:t xml:space="preserve">Brian Witten, Symantec Corp.</w:t>
      </w:r>
    </w:p>
    <w:p>
      <w:pPr>
        <w:pStyle w:val="BodyText"/>
      </w:pPr>
      <w:r>
        <w:t xml:space="preserve">Greg Reaume, TELUS</w:t>
      </w:r>
    </w:p>
    <w:p>
      <w:pPr>
        <w:pStyle w:val="BodyText"/>
      </w:pPr>
      <w:r>
        <w:t xml:space="preserve">Alan Steer, TELUS</w:t>
      </w:r>
    </w:p>
    <w:p>
      <w:pPr>
        <w:pStyle w:val="BodyText"/>
      </w:pPr>
      <w:r>
        <w:t xml:space="preserve">Crystal Hayes, The Boeing Company</w:t>
      </w:r>
    </w:p>
    <w:p>
      <w:pPr>
        <w:pStyle w:val="BodyText"/>
      </w:pPr>
      <w:r>
        <w:t xml:space="preserve">Andrew Gidwani, ThreatConnect, Inc.</w:t>
      </w:r>
    </w:p>
    <w:p>
      <w:pPr>
        <w:pStyle w:val="BodyText"/>
      </w:pPr>
      <w:r>
        <w:t xml:space="preserve">Cole Iliff, ThreatConnect, Inc.</w:t>
      </w:r>
    </w:p>
    <w:p>
      <w:pPr>
        <w:pStyle w:val="BodyText"/>
      </w:pPr>
      <w:r>
        <w:t xml:space="preserve">Andrew Pendergast, ThreatConnect, Inc.</w:t>
      </w:r>
    </w:p>
    <w:p>
      <w:pPr>
        <w:pStyle w:val="BodyText"/>
      </w:pPr>
      <w:r>
        <w:t xml:space="preserve">Jason Spies, ThreatConnect, Inc.</w:t>
      </w:r>
    </w:p>
    <w:p>
      <w:pPr>
        <w:pStyle w:val="BodyText"/>
      </w:pPr>
      <w:r>
        <w:t xml:space="preserve">Ryan Trost, ThreatQuotient, Inc.</w:t>
      </w:r>
    </w:p>
    <w:p>
      <w:pPr>
        <w:pStyle w:val="BodyText"/>
      </w:pPr>
      <w:r>
        <w:t xml:space="preserve">David Girard, Trend Micro</w:t>
      </w:r>
    </w:p>
    <w:p>
      <w:pPr>
        <w:pStyle w:val="BodyText"/>
      </w:pPr>
      <w:r>
        <w:t xml:space="preserve">Brandon Niemczyk, Trend Micro</w:t>
      </w:r>
    </w:p>
    <w:p>
      <w:pPr>
        <w:pStyle w:val="BodyText"/>
      </w:pPr>
      <w:r>
        <w:t xml:space="preserve">Eric Shulze, Trend Micro</w:t>
      </w:r>
    </w:p>
    <w:p>
      <w:pPr>
        <w:pStyle w:val="BodyText"/>
      </w:pPr>
      <w:r>
        <w:t xml:space="preserve">Patrick Coughlin, TruSTAR Technology</w:t>
      </w:r>
    </w:p>
    <w:p>
      <w:pPr>
        <w:pStyle w:val="BodyText"/>
      </w:pPr>
      <w:r>
        <w:t xml:space="preserve">Chris Roblee, TruSTAR Technology</w:t>
      </w:r>
    </w:p>
    <w:p>
      <w:pPr>
        <w:pStyle w:val="BodyText"/>
      </w:pPr>
      <w:r>
        <w:t xml:space="preserve">ADHAM ALBAKRI, University of Kent</w:t>
      </w:r>
    </w:p>
    <w:p>
      <w:pPr>
        <w:pStyle w:val="BodyText"/>
      </w:pPr>
      <w:r>
        <w:t xml:space="preserve">Jeffrey Mates, US Department of Defense (DoD)</w:t>
      </w:r>
    </w:p>
    <w:p>
      <w:pPr>
        <w:pStyle w:val="BodyText"/>
      </w:pPr>
      <w:r>
        <w:t xml:space="preserve">Evette Maynard-Noel, US Department of Homeland Security</w:t>
      </w:r>
    </w:p>
    <w:p>
      <w:pPr>
        <w:pStyle w:val="BodyText"/>
      </w:pPr>
      <w:r>
        <w:t xml:space="preserve">Lee Chieffalo, Viasat</w:t>
      </w:r>
    </w:p>
    <w:p>
      <w:pPr>
        <w:pStyle w:val="BodyText"/>
      </w:pPr>
      <w:r>
        <w:t xml:space="preserve">Wilson Figueroa, Viasat</w:t>
      </w:r>
    </w:p>
    <w:p>
      <w:pPr>
        <w:pStyle w:val="BodyText"/>
      </w:pPr>
      <w:r>
        <w:t xml:space="preserve">Andrew May, Viasat</w:t>
      </w:r>
    </w:p>
    <w:p>
      <w:pPr>
        <w:pStyle w:val="BodyText"/>
      </w:pPr>
      <w:r>
        <w:t xml:space="preserve">Ales Cernivec, XLAB</w:t>
      </w:r>
    </w:p>
    <w:p>
      <w:pPr>
        <w:pStyle w:val="BodyText"/>
      </w:pPr>
      <w:r>
        <w:t xml:space="preserve">Anthony Rutkowski, Yanna Technologies LLC</w:t>
      </w:r>
    </w:p>
    <w:bookmarkEnd w:id="49"/>
    <w:bookmarkStart w:id="51" w:name="X4ec69a23165ba0ff34028767eb8b3a145daa879"/>
    <w:p>
      <w:pPr>
        <w:pStyle w:val="Heading1"/>
      </w:pPr>
      <w:r>
        <w:t xml:space="preserve">Notices</w:t>
      </w:r>
    </w:p>
    <w:p>
      <w:pPr>
        <w:pStyle w:val="FirstParagraph"/>
      </w:pPr>
      <w:r>
        <w:t xml:space="preserve">Copyright © OASIS Open 2025. All Rights Reserved.</w:t>
      </w:r>
    </w:p>
    <w:p>
      <w:pPr>
        <w:pStyle w:val="BodyText"/>
      </w:pPr>
      <w:r>
        <w:t xml:space="preserve">All capitalized terms in the following text have the meanings assigned to them in the OASIS Intellectual Property Rights Policy (the "OASIS IPR Policy").</w:t>
      </w:r>
      <w:r>
        <w:t xml:space="preserve"> </w:t>
      </w:r>
      <w:r>
        <w:t xml:space="preserve">The full Policy may be found at the OASIS website: [</w:t>
      </w:r>
      <w:hyperlink r:id="rId39">
        <w:r>
          <w:rPr>
            <w:rStyle w:val="Hyperlink"/>
          </w:rPr>
          <w:t xml:space="preserve">https://www.oasis-open.org/policies-guidelines/ipr/</w:t>
        </w:r>
      </w:hyperlink>
      <w:r>
        <w:t xml:space="preserve">].</w:t>
      </w:r>
    </w:p>
    <w:p>
      <w:pPr>
        <w:pStyle w:val="BodyText"/>
      </w:pPr>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w:t>
      </w:r>
      <w:r>
        <w:t xml:space="preserve"> </w:t>
      </w:r>
      <w:r>
        <w:t xml:space="preserve">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pPr>
        <w:pStyle w:val="BodyText"/>
      </w:pPr>
      <w:r>
        <w:t xml:space="preserve">The limited permissions granted above are perpetual and will not be revoked by OASIS or its successors or assigns.</w:t>
      </w:r>
    </w:p>
    <w:p>
      <w:pPr>
        <w:pStyle w:val="BodyText"/>
      </w:pPr>
      <w:r>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 OASIS AND ITS MEMBERS WILL NOT BE LIABLE FOR ANY DIRECT, INDIRECT, SPECIAL OR CONSEQUENTIAL DAMAGES ARISING OUT OF ANY USE OF THIS DOCUMENT OR ANY PART THEREOF.</w:t>
      </w:r>
    </w:p>
    <w:p>
      <w:pPr>
        <w:pStyle w:val="BodyText"/>
      </w:pPr>
      <w:r>
        <w:t xml:space="preserve">As stated in the OASIS IPR Policy, the following three paragraphs in brackets apply to OASIS Standards Final Deliverable documents (Committee Specifications, OASIS Standards, or Approved Errata).</w:t>
      </w:r>
    </w:p>
    <w:p>
      <w:pPr>
        <w:pStyle w:val="BodyText"/>
      </w:pPr>
      <w:r>
        <w:t xml:space="preserve">[OASIS requests that any OASIS Party or any other party that believes it has patent claims that would necessarily be infringed by implementations of this OASIS Standards Final Deliverable, to notify OASIS TC Administrator and provide an indication of its willingness to grant patent licenses to such patent claims in a manner consistent with the IPR Mode of the OASIS Technical Committee that produced this deliverable.]</w:t>
      </w:r>
    </w:p>
    <w:p>
      <w:pPr>
        <w:pStyle w:val="BodyText"/>
      </w:pPr>
      <w:r>
        <w:t xml:space="preserve">[OASIS invites any party to contact the OASIS TC Administrator if it is aware of a claim of ownership of any patent claims that would necessarily be infringed by implementations of this OASIS Standards Final Deliverable by a patent holder that is not willing to provide a license to such patent claims in a manner consistent with the IPR Mode of the OASIS Technical Committee that produced this OASIS Standards Final Deliverable. OASIS may include such claims on its website, but disclaims any obligation to do so.]</w:t>
      </w:r>
    </w:p>
    <w:p>
      <w:pPr>
        <w:pStyle w:val="BodyText"/>
      </w:pPr>
      <w:r>
        <w:t xml:space="preserve">[OASIS takes no position regarding the validity or scope of any intellectual property or other rights that might be claimed to pertain to the implementation or use of the technology described in this OASIS Standards Final Deliverable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Standards Final Deliverable, can be obtained from the OASIS TC Administrator. OASIS makes no representation that any information or list of intellectual property rights will at any time be complete, or that any claims in such list are, in fact, Essential Claims.]</w:t>
      </w:r>
    </w:p>
    <w:p>
      <w:pPr>
        <w:pStyle w:val="BodyText"/>
      </w:pPr>
      <w:r>
        <w:t xml:space="preserve">The name "OASIS" is a trademark of OASIS, the owner and developer of this document, and should be used only to refer to the organization and its official outputs.</w:t>
      </w:r>
      <w:r>
        <w:t xml:space="preserve"> </w:t>
      </w:r>
      <w:r>
        <w:t xml:space="preserve">OASIS welcomes reference to, and implementation and use of, documents, while reserving the right to enforce its marks against misleading uses.</w:t>
      </w:r>
      <w:r>
        <w:t xml:space="preserve"> </w:t>
      </w:r>
      <w:r>
        <w:t xml:space="preserve">Please see</w:t>
      </w:r>
      <w:r>
        <w:t xml:space="preserve"> </w:t>
      </w:r>
      <w:hyperlink r:id="rId50">
        <w:r>
          <w:rPr>
            <w:rStyle w:val="Hyperlink"/>
          </w:rPr>
          <w:t xml:space="preserve">https://www.oasis-open.org/policies-guidelines/trademark/</w:t>
        </w:r>
      </w:hyperlink>
      <w:r>
        <w:t xml:space="preserve"> </w:t>
      </w:r>
      <w:r>
        <w:t xml:space="preserve">for above guidance.</w:t>
      </w:r>
    </w:p>
    <w:bookmarkEnd w:id="5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9" Target="media/rId9.png" /><Relationship Type="http://schemas.openxmlformats.org/officeDocument/2006/relationships/hyperlink" Id="rId23" Target="http://www.cisa.gov/" TargetMode="External" /><Relationship Type="http://schemas.openxmlformats.org/officeDocument/2006/relationships/hyperlink" Id="rId28" Target="http://www.ibm.com/" TargetMode="External" /><Relationship Type="http://schemas.openxmlformats.org/officeDocument/2006/relationships/hyperlink" Id="rId27" Target="http://www.mitre.org/" TargetMode="External" /><Relationship Type="http://schemas.openxmlformats.org/officeDocument/2006/relationships/hyperlink" Id="rId34" Target="https://docs.oasis-open.org/cti/stix-taxii-2-interop-p1/v1.1/stix-taxii-2-interop-p1-v1.1.html" TargetMode="External" /><Relationship Type="http://schemas.openxmlformats.org/officeDocument/2006/relationships/hyperlink" Id="rId35" Target="https://docs.oasis-open.org/cti/stix-taxii-2-interop-p2/v1.0/stix-taxii-2-interop-p2-v1.0.html" TargetMode="External" /><Relationship Type="http://schemas.openxmlformats.org/officeDocument/2006/relationships/hyperlink" Id="rId42" Target="https://docs.oasis-open.org/cti/stix/v2.1.1/csd01/stix-v2.1.1-csd01.html" TargetMode="External" /><Relationship Type="http://schemas.openxmlformats.org/officeDocument/2006/relationships/hyperlink" Id="rId43" Target="https://docs.oasis-open.org/cti/stix/v2.1.1/stix-v2.1.1.html" TargetMode="External" /><Relationship Type="http://schemas.openxmlformats.org/officeDocument/2006/relationships/hyperlink" Id="rId12" Target="https://docs.oasis-open.org/cti/stix/v2.1/errata01/stix-v2.1-errata01-csd01.docx" TargetMode="External" /><Relationship Type="http://schemas.openxmlformats.org/officeDocument/2006/relationships/hyperlink" Id="rId13" Target="https://docs.oasis-open.org/cti/stix/v2.1/errata01/stix-v2.1-errata01-csd01.html" TargetMode="External" /><Relationship Type="http://schemas.openxmlformats.org/officeDocument/2006/relationships/hyperlink" Id="rId14" Target="https://docs.oasis-open.org/cti/stix/v2.1/errata01/stix-v2.1-errata01-csd01.pdf" TargetMode="External" /><Relationship Type="http://schemas.openxmlformats.org/officeDocument/2006/relationships/hyperlink" Id="rId15" Target="https://docs.oasis-open.org/cti/stix/v2.1/os/stix-v2.1-os.docx" TargetMode="External" /><Relationship Type="http://schemas.openxmlformats.org/officeDocument/2006/relationships/hyperlink" Id="rId16" Target="https://docs.oasis-open.org/cti/stix/v2.1/os/stix-v2.1-os.html" TargetMode="External" /><Relationship Type="http://schemas.openxmlformats.org/officeDocument/2006/relationships/hyperlink" Id="rId17" Target="https://docs.oasis-open.org/cti/stix/v2.1/os/stix-v2.1-os.pdf" TargetMode="External" /><Relationship Type="http://schemas.openxmlformats.org/officeDocument/2006/relationships/hyperlink" Id="rId18" Target="https://docs.oasis-open.org/cti/stix/v2.1/stix-v2.1.docx" TargetMode="External" /><Relationship Type="http://schemas.openxmlformats.org/officeDocument/2006/relationships/hyperlink" Id="rId19" Target="https://docs.oasis-open.org/cti/stix/v2.1/stix-v2.1.html" TargetMode="External" /><Relationship Type="http://schemas.openxmlformats.org/officeDocument/2006/relationships/hyperlink" Id="rId20" Target="https://docs.oasis-open.org/cti/stix/v2.1/stix-v2.1.pdf" TargetMode="External" /><Relationship Type="http://schemas.openxmlformats.org/officeDocument/2006/relationships/hyperlink" Id="rId33" Target="https://docs.oasis-open.org/cti/taxii/v2.1/taxii-v2.1.html" TargetMode="External" /><Relationship Type="http://schemas.openxmlformats.org/officeDocument/2006/relationships/hyperlink" Id="rId25" Target="https://www.circl.lu/" TargetMode="External" /><Relationship Type="http://schemas.openxmlformats.org/officeDocument/2006/relationships/hyperlink" Id="rId37" Target="https://www.oasis-open.org/committees/comments/index.php?wg_abbrev=cti" TargetMode="External" /><Relationship Type="http://schemas.openxmlformats.org/officeDocument/2006/relationships/hyperlink" Id="rId21" Target="https://www.oasis-open.org/committees/cti/" TargetMode="External" /><Relationship Type="http://schemas.openxmlformats.org/officeDocument/2006/relationships/hyperlink" Id="rId40" Target="https://www.oasis-open.org/committees/cti/ipr.php" TargetMode="External" /><Relationship Type="http://schemas.openxmlformats.org/officeDocument/2006/relationships/hyperlink" Id="rId36" Target="https://www.oasis-open.org/committees/tc_home.php?wg_abbrev=cti#technical" TargetMode="External" /><Relationship Type="http://schemas.openxmlformats.org/officeDocument/2006/relationships/hyperlink" Id="rId38" Target="https://www.oasis-open.org/policies-guidelines/ipr#Non-Assertion-Mode" TargetMode="External" /><Relationship Type="http://schemas.openxmlformats.org/officeDocument/2006/relationships/hyperlink" Id="rId39" Target="https://www.oasis-open.org/policies-guidelines/ipr/" TargetMode="External" /><Relationship Type="http://schemas.openxmlformats.org/officeDocument/2006/relationships/hyperlink" Id="rId41" Target="https://www.oasis-open.org/policies-guidelines/tc-process-2017-05-26#wpComponentsCompLang" TargetMode="External" /><Relationship Type="http://schemas.openxmlformats.org/officeDocument/2006/relationships/hyperlink" Id="rId50" Target="https://www.oasis-open.org/policies-guidelines/trademark/" TargetMode="External" /><Relationship Type="http://schemas.openxmlformats.org/officeDocument/2006/relationships/hyperlink" Id="rId30" Target="https://www.peraton.com/" TargetMode="External" /><Relationship Type="http://schemas.openxmlformats.org/officeDocument/2006/relationships/hyperlink" Id="rId24" Target="mailto:alexandre.dulaunoy@x.circl.lu" TargetMode="External" /><Relationship Type="http://schemas.openxmlformats.org/officeDocument/2006/relationships/hyperlink" Id="rId31" Target="mailto:christian.studer@circl.lu" TargetMode="External" /><Relationship Type="http://schemas.openxmlformats.org/officeDocument/2006/relationships/hyperlink" Id="rId22" Target="mailto:marlon.taylor@cisa.dhs.gov" TargetMode="External" /><Relationship Type="http://schemas.openxmlformats.org/officeDocument/2006/relationships/hyperlink" Id="rId26" Target="mailto:rpiazza@mitre.org" TargetMode="External" /><Relationship Type="http://schemas.openxmlformats.org/officeDocument/2006/relationships/hyperlink" Id="rId29" Target="mailto:stephan.relitz@peraton.com" TargetMode="External" /></Relationships>
</file>

<file path=word/_rels/footnotes.xml.rels><?xml version="1.0" encoding="UTF-8"?><Relationships xmlns="http://schemas.openxmlformats.org/package/2006/relationships"><Relationship Type="http://schemas.openxmlformats.org/officeDocument/2006/relationships/hyperlink" Id="rId23" Target="http://www.cisa.gov/" TargetMode="External" /><Relationship Type="http://schemas.openxmlformats.org/officeDocument/2006/relationships/hyperlink" Id="rId28" Target="http://www.ibm.com/" TargetMode="External" /><Relationship Type="http://schemas.openxmlformats.org/officeDocument/2006/relationships/hyperlink" Id="rId27" Target="http://www.mitre.org/" TargetMode="External" /><Relationship Type="http://schemas.openxmlformats.org/officeDocument/2006/relationships/hyperlink" Id="rId34" Target="https://docs.oasis-open.org/cti/stix-taxii-2-interop-p1/v1.1/stix-taxii-2-interop-p1-v1.1.html" TargetMode="External" /><Relationship Type="http://schemas.openxmlformats.org/officeDocument/2006/relationships/hyperlink" Id="rId35" Target="https://docs.oasis-open.org/cti/stix-taxii-2-interop-p2/v1.0/stix-taxii-2-interop-p2-v1.0.html" TargetMode="External" /><Relationship Type="http://schemas.openxmlformats.org/officeDocument/2006/relationships/hyperlink" Id="rId42" Target="https://docs.oasis-open.org/cti/stix/v2.1.1/csd01/stix-v2.1.1-csd01.html" TargetMode="External" /><Relationship Type="http://schemas.openxmlformats.org/officeDocument/2006/relationships/hyperlink" Id="rId43" Target="https://docs.oasis-open.org/cti/stix/v2.1.1/stix-v2.1.1.html" TargetMode="External" /><Relationship Type="http://schemas.openxmlformats.org/officeDocument/2006/relationships/hyperlink" Id="rId12" Target="https://docs.oasis-open.org/cti/stix/v2.1/errata01/stix-v2.1-errata01-csd01.docx" TargetMode="External" /><Relationship Type="http://schemas.openxmlformats.org/officeDocument/2006/relationships/hyperlink" Id="rId13" Target="https://docs.oasis-open.org/cti/stix/v2.1/errata01/stix-v2.1-errata01-csd01.html" TargetMode="External" /><Relationship Type="http://schemas.openxmlformats.org/officeDocument/2006/relationships/hyperlink" Id="rId14" Target="https://docs.oasis-open.org/cti/stix/v2.1/errata01/stix-v2.1-errata01-csd01.pdf" TargetMode="External" /><Relationship Type="http://schemas.openxmlformats.org/officeDocument/2006/relationships/hyperlink" Id="rId15" Target="https://docs.oasis-open.org/cti/stix/v2.1/os/stix-v2.1-os.docx" TargetMode="External" /><Relationship Type="http://schemas.openxmlformats.org/officeDocument/2006/relationships/hyperlink" Id="rId16" Target="https://docs.oasis-open.org/cti/stix/v2.1/os/stix-v2.1-os.html" TargetMode="External" /><Relationship Type="http://schemas.openxmlformats.org/officeDocument/2006/relationships/hyperlink" Id="rId17" Target="https://docs.oasis-open.org/cti/stix/v2.1/os/stix-v2.1-os.pdf" TargetMode="External" /><Relationship Type="http://schemas.openxmlformats.org/officeDocument/2006/relationships/hyperlink" Id="rId18" Target="https://docs.oasis-open.org/cti/stix/v2.1/stix-v2.1.docx" TargetMode="External" /><Relationship Type="http://schemas.openxmlformats.org/officeDocument/2006/relationships/hyperlink" Id="rId19" Target="https://docs.oasis-open.org/cti/stix/v2.1/stix-v2.1.html" TargetMode="External" /><Relationship Type="http://schemas.openxmlformats.org/officeDocument/2006/relationships/hyperlink" Id="rId20" Target="https://docs.oasis-open.org/cti/stix/v2.1/stix-v2.1.pdf" TargetMode="External" /><Relationship Type="http://schemas.openxmlformats.org/officeDocument/2006/relationships/hyperlink" Id="rId33" Target="https://docs.oasis-open.org/cti/taxii/v2.1/taxii-v2.1.html" TargetMode="External" /><Relationship Type="http://schemas.openxmlformats.org/officeDocument/2006/relationships/hyperlink" Id="rId25" Target="https://www.circl.lu/" TargetMode="External" /><Relationship Type="http://schemas.openxmlformats.org/officeDocument/2006/relationships/hyperlink" Id="rId37" Target="https://www.oasis-open.org/committees/comments/index.php?wg_abbrev=cti" TargetMode="External" /><Relationship Type="http://schemas.openxmlformats.org/officeDocument/2006/relationships/hyperlink" Id="rId21" Target="https://www.oasis-open.org/committees/cti/" TargetMode="External" /><Relationship Type="http://schemas.openxmlformats.org/officeDocument/2006/relationships/hyperlink" Id="rId40" Target="https://www.oasis-open.org/committees/cti/ipr.php" TargetMode="External" /><Relationship Type="http://schemas.openxmlformats.org/officeDocument/2006/relationships/hyperlink" Id="rId36" Target="https://www.oasis-open.org/committees/tc_home.php?wg_abbrev=cti#technical" TargetMode="External" /><Relationship Type="http://schemas.openxmlformats.org/officeDocument/2006/relationships/hyperlink" Id="rId38" Target="https://www.oasis-open.org/policies-guidelines/ipr#Non-Assertion-Mode" TargetMode="External" /><Relationship Type="http://schemas.openxmlformats.org/officeDocument/2006/relationships/hyperlink" Id="rId39" Target="https://www.oasis-open.org/policies-guidelines/ipr/" TargetMode="External" /><Relationship Type="http://schemas.openxmlformats.org/officeDocument/2006/relationships/hyperlink" Id="rId41" Target="https://www.oasis-open.org/policies-guidelines/tc-process-2017-05-26#wpComponentsCompLang" TargetMode="External" /><Relationship Type="http://schemas.openxmlformats.org/officeDocument/2006/relationships/hyperlink" Id="rId50" Target="https://www.oasis-open.org/policies-guidelines/trademark/" TargetMode="External" /><Relationship Type="http://schemas.openxmlformats.org/officeDocument/2006/relationships/hyperlink" Id="rId30" Target="https://www.peraton.com/" TargetMode="External" /><Relationship Type="http://schemas.openxmlformats.org/officeDocument/2006/relationships/hyperlink" Id="rId24" Target="mailto:alexandre.dulaunoy@x.circl.lu" TargetMode="External" /><Relationship Type="http://schemas.openxmlformats.org/officeDocument/2006/relationships/hyperlink" Id="rId31" Target="mailto:christian.studer@circl.lu" TargetMode="External" /><Relationship Type="http://schemas.openxmlformats.org/officeDocument/2006/relationships/hyperlink" Id="rId22" Target="mailto:marlon.taylor@cisa.dhs.gov" TargetMode="External" /><Relationship Type="http://schemas.openxmlformats.org/officeDocument/2006/relationships/hyperlink" Id="rId26" Target="mailto:rpiazza@mitre.org" TargetMode="External" /><Relationship Type="http://schemas.openxmlformats.org/officeDocument/2006/relationships/hyperlink" Id="rId29" Target="mailto:stephan.relitz@perato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OASIS logo</dc:title>
  <dc:creator/>
  <cp:keywords/>
  <dcterms:created xsi:type="dcterms:W3CDTF">2025-06-30T09:26:54Z</dcterms:created>
  <dcterms:modified xsi:type="dcterms:W3CDTF">2025-06-30T09:26:54Z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2025-06-30</vt:lpwstr>
  </property>
</Properties>
</file>