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r>
        <w:t xml:space="preserve"/>
      </w:r>
    </w:p>
    <w:p>
      <w:pPr>
        <w:spacing w:after="200" w:before="200"/>
        <w:jc w:val="center"/>
      </w:pPr>
      <w:r>
        <w:rPr>
          <w:rFonts w:ascii="Calibri" w:cs="Calibri" w:eastAsia="Calibri" w:hAnsi="Calibri"/>
          <w:b/>
          <w:bCs/>
          <w:color w:val="AAAAAA"/>
          <w:sz w:val="28"/>
          <w:szCs w:val="28"/>
        </w:rPr>
        <w:t xml:space="preserve">[ LOGO OASIS TECH INCUBATOR ]</w:t>
      </w:r>
    </w:p>
    <w:p>
      <w:pPr>
        <w:spacing w:after="200" w:before="200"/>
      </w:pPr>
      <w:r>
        <w:t xml:space="preserve"/>
      </w:r>
    </w:p>
    <w:p>
      <w:pPr>
        <w:spacing w:after="100" w:before="200"/>
        <w:jc w:val="center"/>
      </w:pPr>
      <w:r>
        <w:rPr>
          <w:rFonts w:ascii="Calibri" w:cs="Calibri" w:eastAsia="Calibri" w:hAnsi="Calibri"/>
          <w:b/>
          <w:bCs/>
          <w:color w:val="0D3B66"/>
          <w:sz w:val="44"/>
          <w:szCs w:val="44"/>
        </w:rPr>
        <w:t xml:space="preserve">DOSSIER DE PRÉSENTATION INSTITUTIONNELLE</w:t>
      </w:r>
    </w:p>
    <w:p>
      <w:pPr>
        <w:pBdr>
          <w:bottom w:val="single" w:color="C9A227" w:sz="6" w:space="1"/>
        </w:pBdr>
        <w:spacing w:after="120" w:before="120"/>
      </w:pPr>
      <w:r>
        <w:t xml:space="preserve"/>
      </w:r>
    </w:p>
    <w:p>
      <w:pPr>
        <w:spacing w:after="100" w:before="100"/>
      </w:pPr>
      <w:r>
        <w:t xml:space="preserve"/>
      </w:r>
    </w:p>
    <w:p>
      <w:pPr>
        <w:spacing w:after="100" w:before="150"/>
        <w:jc w:val="center"/>
      </w:pPr>
      <w:r>
        <w:rPr>
          <w:rFonts w:ascii="Calibri" w:cs="Calibri" w:eastAsia="Calibri" w:hAnsi="Calibri"/>
          <w:b/>
          <w:bCs/>
          <w:color w:val="2E7D32"/>
          <w:sz w:val="52"/>
          <w:szCs w:val="52"/>
        </w:rPr>
        <w:t xml:space="preserve">Oasis Tech Incubator</w:t>
      </w:r>
    </w:p>
    <w:p>
      <w:pPr>
        <w:spacing w:after="200" w:before="80"/>
        <w:jc w:val="center"/>
      </w:pPr>
      <w:r>
        <w:rPr>
          <w:rFonts w:ascii="Calibri" w:cs="Calibri" w:eastAsia="Calibri" w:hAnsi="Calibri"/>
          <w:i/>
          <w:iCs/>
          <w:color w:val="555555"/>
          <w:sz w:val="28"/>
          <w:szCs w:val="28"/>
        </w:rPr>
        <w:t xml:space="preserve">Premier incubateur labellisé du Grand Sud Algérien</w:t>
      </w:r>
    </w:p>
    <w:p>
      <w:pPr>
        <w:pBdr>
          <w:bottom w:val="single" w:color="C9A227" w:sz="6" w:space="1"/>
        </w:pBdr>
        <w:spacing w:after="120" w:before="120"/>
      </w:pPr>
      <w:r>
        <w:t xml:space="preserve"/>
      </w:r>
    </w:p>
    <w:p>
      <w:pPr>
        <w:spacing w:after="200" w:before="200"/>
      </w:pPr>
      <w:r>
        <w:t xml:space="preserve"/>
      </w:r>
    </w:p>
    <w:p>
      <w:pPr>
        <w:spacing w:after="60" w:before="100"/>
        <w:jc w:val="center"/>
      </w:pPr>
      <w:r>
        <w:rPr>
          <w:rFonts w:ascii="Calibri" w:cs="Calibri" w:eastAsia="Calibri" w:hAnsi="Calibri"/>
          <w:b/>
          <w:bCs/>
          <w:color w:val="0D3B66"/>
          <w:sz w:val="24"/>
          <w:szCs w:val="24"/>
        </w:rPr>
        <w:t xml:space="preserve">Programme :</w:t>
      </w:r>
    </w:p>
    <w:p>
      <w:pPr>
        <w:spacing w:after="200" w:before="60"/>
        <w:jc w:val="center"/>
      </w:pPr>
      <w:r>
        <w:rPr>
          <w:rFonts w:ascii="Calibri" w:cs="Calibri" w:eastAsia="Calibri" w:hAnsi="Calibri"/>
          <w:b/>
          <w:bCs/>
          <w:color w:val="2E7D32"/>
          <w:sz w:val="28"/>
          <w:szCs w:val="28"/>
        </w:rPr>
        <w:t xml:space="preserve">Green Growth and Jobs Accelerator Project (GGJAP)</w:t>
      </w:r>
    </w:p>
    <w:p>
      <w:pPr>
        <w:spacing w:after="200" w:before="200"/>
      </w:pPr>
      <w:r>
        <w:t xml:space="preserve"/>
      </w:r>
    </w:p>
    <w:p>
      <w:pPr>
        <w:spacing w:after="60" w:before="100"/>
        <w:jc w:val="center"/>
      </w:pPr>
      <w:r>
        <w:rPr>
          <w:rFonts w:ascii="Calibri" w:cs="Calibri" w:eastAsia="Calibri" w:hAnsi="Calibri"/>
          <w:b/>
          <w:bCs/>
          <w:color w:val="0D3B66"/>
          <w:sz w:val="24"/>
          <w:szCs w:val="24"/>
        </w:rPr>
        <w:t xml:space="preserve">Soumis par :</w:t>
      </w:r>
    </w:p>
    <w:p>
      <w:pPr>
        <w:spacing w:after="60" w:before="60"/>
        <w:jc w:val="center"/>
      </w:pPr>
      <w:r>
        <w:rPr>
          <w:rFonts w:ascii="Calibri" w:cs="Calibri" w:eastAsia="Calibri" w:hAnsi="Calibri"/>
          <w:b/>
          <w:bCs/>
          <w:color w:val="0D3B66"/>
          <w:sz w:val="32"/>
          <w:szCs w:val="32"/>
        </w:rPr>
        <w:t xml:space="preserve">Abdelhamid Sghira</w:t>
      </w:r>
    </w:p>
    <w:p>
      <w:pPr>
        <w:spacing w:after="300" w:before="60"/>
        <w:jc w:val="center"/>
      </w:pPr>
      <w:r>
        <w:rPr>
          <w:rFonts w:ascii="Calibri" w:cs="Calibri" w:eastAsia="Calibri" w:hAnsi="Calibri"/>
          <w:i/>
          <w:iCs/>
          <w:color w:val="2E7D32"/>
          <w:sz w:val="24"/>
          <w:szCs w:val="24"/>
        </w:rPr>
        <w:t xml:space="preserve">Fondateur &amp; Directeur Exécutif</w:t>
      </w:r>
    </w:p>
    <w:p>
      <w:pPr>
        <w:spacing w:after="300" w:before="300"/>
      </w:pPr>
      <w:r>
        <w:t xml:space="preserve"/>
      </w:r>
    </w:p>
    <w:p>
      <w:pPr>
        <w:pBdr>
          <w:bottom w:val="single" w:color="2E7D32" w:sz="6" w:space="1"/>
        </w:pBdr>
        <w:spacing w:after="120" w:before="120"/>
      </w:pPr>
      <w:r>
        <w:t xml:space="preserve"/>
      </w:r>
    </w:p>
    <w:p>
      <w:pPr>
        <w:spacing w:after="60" w:before="100"/>
        <w:jc w:val="center"/>
      </w:pPr>
      <w:r>
        <w:rPr>
          <w:rFonts w:ascii="Calibri" w:cs="Calibri" w:eastAsia="Calibri" w:hAnsi="Calibri"/>
          <w:b/>
          <w:bCs/>
          <w:color w:val="555555"/>
          <w:sz w:val="22"/>
          <w:szCs w:val="22"/>
        </w:rPr>
        <w:t xml:space="preserve">Timimoun – Wilaya d'Adrar – Algérie</w:t>
      </w:r>
    </w:p>
    <w:p>
      <w:pPr>
        <w:spacing w:after="60" w:before="60"/>
        <w:jc w:val="center"/>
      </w:pPr>
      <w:r>
        <w:rPr>
          <w:rFonts w:ascii="Calibri" w:cs="Calibri" w:eastAsia="Calibri" w:hAnsi="Calibri"/>
          <w:color w:val="555555"/>
          <w:sz w:val="22"/>
          <w:szCs w:val="22"/>
        </w:rPr>
        <w:t xml:space="preserve">Juin 2026</w:t>
      </w:r>
    </w:p>
    <w:p>
      <w:pPr>
        <w:spacing w:after="60" w:before="60"/>
        <w:jc w:val="center"/>
      </w:pPr>
      <w:r>
        <w:rPr>
          <w:rFonts w:ascii="Calibri" w:cs="Calibri" w:eastAsia="Calibri" w:hAnsi="Calibri"/>
          <w:i/>
          <w:iCs/>
          <w:color w:val="888888"/>
          <w:sz w:val="18"/>
          <w:szCs w:val="18"/>
        </w:rPr>
        <w:t xml:space="preserve">Document CONFIDENTIEL — Réservé aux partenaires institutionnels</w:t>
      </w:r>
    </w:p>
    <w:p>
      <w:r>
        <w:br w:type="page"/>
      </w:r>
    </w:p>
    <w:p>
      <w:pPr>
        <w:sectPr>
          <w:pgSz w:w="11906" w:h="16838" w:orient="portrait"/>
          <w:pgMar w:top="1440" w:right="1440" w:bottom="1440" w:left="1440" w:header="708" w:footer="708" w:gutter="0"/>
          <w:pgNumType/>
          <w:docGrid w:linePitch="360"/>
        </w:sectPr>
      </w:pPr>
    </w:p>
    <w:p>
      <w:pPr>
        <w:pStyle w:val="Heading1"/>
      </w:pPr>
      <w:r>
        <w:rPr>
          <w:rFonts w:ascii="Calibri" w:cs="Calibri" w:eastAsia="Calibri" w:hAnsi="Calibri"/>
          <w:b/>
          <w:bCs/>
          <w:color w:val="0D3B66"/>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0D3B66"/>
          <w:sz w:val="36"/>
          <w:szCs w:val="36"/>
        </w:rPr>
        <w:t xml:space="preserve">1. Présentation de l'Incubateur</w:t>
      </w:r>
    </w:p>
    <w:p>
      <w:pPr>
        <w:pBdr>
          <w:bottom w:val="single" w:color="2E7D32" w:sz="6" w:space="1"/>
        </w:pBdr>
        <w:spacing w:after="120" w:before="120"/>
      </w:pPr>
      <w:r>
        <w:t xml:space="preserve"/>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CCCCCC" w:sz="1"/>
              <w:left w:val="single" w:color="CCCCCC" w:sz="1"/>
              <w:bottom w:val="single" w:color="CCCCCC" w:sz="1"/>
              <w:right w:val="single" w:color="CCCCCC" w:sz="1"/>
            </w:tcBorders>
            <w:shd w:fill="E8F5E9" w:val="clear"/>
            <w:tcMar>
              <w:top w:type="dxa" w:w="150"/>
              <w:left w:type="dxa" w:w="100"/>
              <w:bottom w:type="dxa" w:w="150"/>
              <w:right w:type="dxa" w:w="100"/>
            </w:tcMar>
          </w:tcPr>
          <w:p>
            <w:pPr>
              <w:jc w:val="center"/>
            </w:pPr>
            <w:r>
              <w:rPr>
                <w:rFonts w:ascii="Calibri" w:cs="Calibri" w:eastAsia="Calibri" w:hAnsi="Calibri"/>
                <w:b/>
                <w:bCs/>
                <w:color w:val="0D3B66"/>
                <w:sz w:val="40"/>
                <w:szCs w:val="40"/>
              </w:rPr>
              <w:t xml:space="preserve">5 Wilayas</w:t>
            </w:r>
          </w:p>
          <w:p>
            <w:pPr>
              <w:jc w:val="center"/>
            </w:pPr>
            <w:r>
              <w:rPr>
                <w:rFonts w:ascii="Calibri" w:cs="Calibri" w:eastAsia="Calibri" w:hAnsi="Calibri"/>
                <w:color w:val="555555"/>
                <w:sz w:val="18"/>
                <w:szCs w:val="18"/>
              </w:rPr>
              <w:t xml:space="preserve">Couverture régionale</w:t>
            </w:r>
          </w:p>
        </w:tc>
        <w:tc>
          <w:tcPr>
            <w:tcW w:type="dxa" w:w="2257"/>
            <w:tcBorders>
              <w:top w:val="single" w:color="CCCCCC" w:sz="1"/>
              <w:left w:val="single" w:color="CCCCCC" w:sz="1"/>
              <w:bottom w:val="single" w:color="CCCCCC" w:sz="1"/>
              <w:right w:val="single" w:color="CCCCCC" w:sz="1"/>
            </w:tcBorders>
            <w:shd w:fill="E3F2FD" w:val="clear"/>
            <w:tcMar>
              <w:top w:type="dxa" w:w="150"/>
              <w:left w:type="dxa" w:w="100"/>
              <w:bottom w:type="dxa" w:w="150"/>
              <w:right w:type="dxa" w:w="100"/>
            </w:tcMar>
          </w:tcPr>
          <w:p>
            <w:pPr>
              <w:jc w:val="center"/>
            </w:pPr>
            <w:r>
              <w:rPr>
                <w:rFonts w:ascii="Calibri" w:cs="Calibri" w:eastAsia="Calibri" w:hAnsi="Calibri"/>
                <w:b/>
                <w:bCs/>
                <w:color w:val="0D3B66"/>
                <w:sz w:val="40"/>
                <w:szCs w:val="40"/>
              </w:rPr>
              <w:t xml:space="preserve">25+</w:t>
            </w:r>
          </w:p>
          <w:p>
            <w:pPr>
              <w:jc w:val="center"/>
            </w:pPr>
            <w:r>
              <w:rPr>
                <w:rFonts w:ascii="Calibri" w:cs="Calibri" w:eastAsia="Calibri" w:hAnsi="Calibri"/>
                <w:color w:val="555555"/>
                <w:sz w:val="18"/>
                <w:szCs w:val="18"/>
              </w:rPr>
              <w:t xml:space="preserve">Bénéficiaires directs</w:t>
            </w:r>
          </w:p>
        </w:tc>
        <w:tc>
          <w:tcPr>
            <w:tcW w:type="dxa" w:w="2256"/>
            <w:tcBorders>
              <w:top w:val="single" w:color="CCCCCC" w:sz="1"/>
              <w:left w:val="single" w:color="CCCCCC" w:sz="1"/>
              <w:bottom w:val="single" w:color="CCCCCC" w:sz="1"/>
              <w:right w:val="single" w:color="CCCCCC" w:sz="1"/>
            </w:tcBorders>
            <w:shd w:fill="FFF8E1" w:val="clear"/>
            <w:tcMar>
              <w:top w:type="dxa" w:w="150"/>
              <w:left w:type="dxa" w:w="100"/>
              <w:bottom w:type="dxa" w:w="150"/>
              <w:right w:type="dxa" w:w="100"/>
            </w:tcMar>
          </w:tcPr>
          <w:p>
            <w:pPr>
              <w:jc w:val="center"/>
            </w:pPr>
            <w:r>
              <w:rPr>
                <w:rFonts w:ascii="Calibri" w:cs="Calibri" w:eastAsia="Calibri" w:hAnsi="Calibri"/>
                <w:b/>
                <w:bCs/>
                <w:color w:val="0D3B66"/>
                <w:sz w:val="40"/>
                <w:szCs w:val="40"/>
              </w:rPr>
              <w:t xml:space="preserve">60+</w:t>
            </w:r>
          </w:p>
          <w:p>
            <w:pPr>
              <w:jc w:val="center"/>
            </w:pPr>
            <w:r>
              <w:rPr>
                <w:rFonts w:ascii="Calibri" w:cs="Calibri" w:eastAsia="Calibri" w:hAnsi="Calibri"/>
                <w:color w:val="555555"/>
                <w:sz w:val="18"/>
                <w:szCs w:val="18"/>
              </w:rPr>
              <w:t xml:space="preserve">Accompagnement digital</w:t>
            </w:r>
          </w:p>
        </w:tc>
        <w:tc>
          <w:tcPr>
            <w:tcW w:type="dxa" w:w="2257"/>
            <w:tcBorders>
              <w:top w:val="single" w:color="CCCCCC" w:sz="1"/>
              <w:left w:val="single" w:color="CCCCCC" w:sz="1"/>
              <w:bottom w:val="single" w:color="CCCCCC" w:sz="1"/>
              <w:right w:val="single" w:color="CCCCCC" w:sz="1"/>
            </w:tcBorders>
            <w:shd w:fill="E8F5E9" w:val="clear"/>
            <w:tcMar>
              <w:top w:type="dxa" w:w="150"/>
              <w:left w:type="dxa" w:w="100"/>
              <w:bottom w:type="dxa" w:w="150"/>
              <w:right w:type="dxa" w:w="100"/>
            </w:tcMar>
          </w:tcPr>
          <w:p>
            <w:pPr>
              <w:jc w:val="center"/>
            </w:pPr>
            <w:r>
              <w:rPr>
                <w:rFonts w:ascii="Calibri" w:cs="Calibri" w:eastAsia="Calibri" w:hAnsi="Calibri"/>
                <w:b/>
                <w:bCs/>
                <w:color w:val="0D3B66"/>
                <w:sz w:val="40"/>
                <w:szCs w:val="40"/>
              </w:rPr>
              <w:t xml:space="preserve">2027</w:t>
            </w:r>
          </w:p>
          <w:p>
            <w:pPr>
              <w:jc w:val="center"/>
            </w:pPr>
            <w:r>
              <w:rPr>
                <w:rFonts w:ascii="Calibri" w:cs="Calibri" w:eastAsia="Calibri" w:hAnsi="Calibri"/>
                <w:color w:val="555555"/>
                <w:sz w:val="18"/>
                <w:szCs w:val="18"/>
              </w:rPr>
              <w:t xml:space="preserve">Horizon stratégique</w:t>
            </w:r>
          </w:p>
        </w:tc>
      </w:tr>
    </w:tbl>
    <w:p>
      <w:pPr>
        <w:spacing w:after="100" w:before="100"/>
      </w:pPr>
      <w:r>
        <w:t xml:space="preserve"/>
      </w:r>
    </w:p>
    <w:p>
      <w:pPr>
        <w:spacing w:after="80" w:before="80"/>
        <w:jc w:val="both"/>
      </w:pPr>
      <w:r>
        <w:rPr>
          <w:rFonts w:ascii="Calibri" w:cs="Calibri" w:eastAsia="Calibri" w:hAnsi="Calibri"/>
          <w:b w:val="false"/>
          <w:bCs w:val="false"/>
          <w:color w:val="333333"/>
          <w:sz w:val="22"/>
          <w:szCs w:val="22"/>
        </w:rPr>
        <w:t xml:space="preserve">Oasis Tech Incubator est le premier incubateur d'entreprises privé labellisé « Label Incubateur » dans la région du Grand Sud algérien. Implanté stratégiquement dans les wilayas de Timimoun et d'Adrar, il constitue le bras exécutif et le moteur entrepreneurial couvrant cinq wilayas sahariennes majeures : Timimoun, Adrar, Béni Abbès, El Meniaa et El Bayadh.</w:t>
      </w:r>
    </w:p>
    <w:p>
      <w:pPr>
        <w:spacing w:after="100" w:before="100"/>
      </w:pPr>
      <w:r>
        <w:t xml:space="preserve"/>
      </w:r>
    </w:p>
    <w:p>
      <w:pPr>
        <w:spacing w:after="80" w:before="80"/>
        <w:jc w:val="both"/>
      </w:pPr>
      <w:r>
        <w:rPr>
          <w:rFonts w:ascii="Calibri" w:cs="Calibri" w:eastAsia="Calibri" w:hAnsi="Calibri"/>
          <w:b w:val="false"/>
          <w:bCs w:val="false"/>
          <w:color w:val="333333"/>
          <w:sz w:val="22"/>
          <w:szCs w:val="22"/>
        </w:rPr>
        <w:t xml:space="preserve">Fondé en réponse aux défis climatiques et géographiques du Sud algérien, l'incubateur a pour mission de combler les lacunes en matière de développement dans les régions insuffisamment desservies. Il construit un écosystème d'innovation intégré permettant aux jeunes, aux femmes rurales et aux diplômés universitaires de transformer leurs idées innovantes en entreprises vertes, durables, à faible émission de carbone, capables de créer des emplois pérennes et de contribuer à la diversification de l'économie nationale.</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jc w:val="center"/>
            </w:pPr>
            <w:r>
              <w:rPr>
                <w:rFonts w:ascii="Calibri" w:cs="Calibri" w:eastAsia="Calibri" w:hAnsi="Calibri"/>
                <w:b/>
                <w:bCs/>
                <w:color w:val="FFFFFF"/>
                <w:sz w:val="24"/>
                <w:szCs w:val="24"/>
              </w:rPr>
              <w:t xml:space="preserve">Couverture Territoriale — 5 Wilayas du Grand Sud</w:t>
            </w:r>
          </w:p>
        </w:tc>
      </w:tr>
      <w:tr>
        <w:tc>
          <w:tcPr>
            <w:tcW w:type="dxa" w:w="9026"/>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Timimoun  |  Adrar  |  Béni Abbès  |  El Meniaa  |  El Bayadh</w:t>
            </w:r>
          </w:p>
        </w:tc>
      </w:tr>
      <w:tr>
        <w:tc>
          <w:tcPr>
            <w:tcW w:type="dxa" w:w="9026"/>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Une présence territoriale unique, ancrée au cœur du Sahara algérien</w:t>
            </w:r>
          </w:p>
        </w:tc>
      </w:tr>
    </w:tbl>
    <w:p>
      <w:pPr>
        <w:spacing w:after="200" w:before="200"/>
      </w:pPr>
      <w:r>
        <w:t xml:space="preserve"/>
      </w:r>
    </w:p>
    <w:p>
      <w:pPr>
        <w:pStyle w:val="Heading1"/>
        <w:spacing w:after="200" w:before="400"/>
      </w:pPr>
      <w:r>
        <w:rPr>
          <w:rFonts w:ascii="Calibri" w:cs="Calibri" w:eastAsia="Calibri" w:hAnsi="Calibri"/>
          <w:b/>
          <w:bCs/>
          <w:color w:val="0D3B66"/>
          <w:sz w:val="36"/>
          <w:szCs w:val="36"/>
        </w:rPr>
        <w:t xml:space="preserve">2. Vision et Mission Stratégique</w:t>
      </w:r>
    </w:p>
    <w:p>
      <w:pPr>
        <w:pBdr>
          <w:bottom w:val="single" w:color="2E7D32" w:sz="6" w:space="1"/>
        </w:pBdr>
        <w:spacing w:after="120" w:before="120"/>
      </w:pPr>
      <w:r>
        <w:t xml:space="preserve"/>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0D3B66" w:val="clear"/>
            <w:tcMar>
              <w:top w:type="dxa" w:w="120"/>
              <w:left w:type="dxa" w:w="200"/>
              <w:bottom w:type="dxa" w:w="120"/>
              <w:right w:type="dxa" w:w="200"/>
            </w:tcMar>
          </w:tcPr>
          <w:p>
            <w:pPr>
              <w:jc w:val="center"/>
            </w:pPr>
            <w:r>
              <w:rPr>
                <w:rFonts w:ascii="Calibri" w:cs="Calibri" w:eastAsia="Calibri" w:hAnsi="Calibri"/>
                <w:b/>
                <w:bCs/>
                <w:color w:val="FFFFFF"/>
                <w:sz w:val="28"/>
                <w:szCs w:val="28"/>
              </w:rPr>
              <w:t xml:space="preserve">VISION</w:t>
            </w:r>
          </w:p>
          <w:p>
            <w:pPr>
              <w:jc w:val="center"/>
            </w:pPr>
            <w:r>
              <w:rPr>
                <w:rFonts w:ascii="Calibri" w:cs="Calibri" w:eastAsia="Calibri" w:hAnsi="Calibri"/>
                <w:color w:val="333333"/>
                <w:sz w:val="14"/>
                <w:szCs w:val="14"/>
              </w:rPr>
              <w:t xml:space="preserve"> </w:t>
            </w:r>
          </w:p>
          <w:p>
            <w:pPr>
              <w:jc w:val="center"/>
            </w:pPr>
            <w:r>
              <w:rPr>
                <w:rFonts w:ascii="Calibri" w:cs="Calibri" w:eastAsia="Calibri" w:hAnsi="Calibri"/>
                <w:color w:val="EEEEEE"/>
                <w:sz w:val="20"/>
                <w:szCs w:val="20"/>
              </w:rPr>
              <w:t xml:space="preserve">Devenir la référence régionale de premier rang et le partenaire stratégique des instances nationales et internationales en matière d'ingénierie et de localisation de l'entrepreneuriat vert, de l'agriculture intelligente et de l'innovation durable dans les milieux sahariens et arides — à l'horizon 2027.</w:t>
            </w:r>
          </w:p>
        </w:tc>
        <w:tc>
          <w:tcPr>
            <w:tcW w:type="dxa" w:w="4513"/>
            <w:tcBorders>
              <w:top w:val="none" w:color="FFFFFF" w:sz="0"/>
              <w:left w:val="none" w:color="FFFFFF" w:sz="0"/>
              <w:bottom w:val="none" w:color="FFFFFF" w:sz="0"/>
              <w:right w:val="none" w:color="FFFFFF" w:sz="0"/>
            </w:tcBorders>
            <w:shd w:fill="2E7D32" w:val="clear"/>
            <w:tcMar>
              <w:top w:type="dxa" w:w="120"/>
              <w:left w:type="dxa" w:w="200"/>
              <w:bottom w:type="dxa" w:w="120"/>
              <w:right w:type="dxa" w:w="200"/>
            </w:tcMar>
          </w:tcPr>
          <w:p>
            <w:pPr>
              <w:jc w:val="center"/>
            </w:pPr>
            <w:r>
              <w:rPr>
                <w:rFonts w:ascii="Calibri" w:cs="Calibri" w:eastAsia="Calibri" w:hAnsi="Calibri"/>
                <w:b/>
                <w:bCs/>
                <w:color w:val="FFFFFF"/>
                <w:sz w:val="28"/>
                <w:szCs w:val="28"/>
              </w:rPr>
              <w:t xml:space="preserve">MISSION</w:t>
            </w:r>
          </w:p>
          <w:p>
            <w:pPr>
              <w:jc w:val="center"/>
            </w:pPr>
            <w:r>
              <w:rPr>
                <w:rFonts w:ascii="Calibri" w:cs="Calibri" w:eastAsia="Calibri" w:hAnsi="Calibri"/>
                <w:color w:val="333333"/>
                <w:sz w:val="14"/>
                <w:szCs w:val="14"/>
              </w:rPr>
              <w:t xml:space="preserve"> </w:t>
            </w:r>
          </w:p>
          <w:p>
            <w:pPr>
              <w:jc w:val="center"/>
            </w:pPr>
            <w:r>
              <w:rPr>
                <w:rFonts w:ascii="Calibri" w:cs="Calibri" w:eastAsia="Calibri" w:hAnsi="Calibri"/>
                <w:color w:val="EEEEEE"/>
                <w:sz w:val="20"/>
                <w:szCs w:val="20"/>
              </w:rPr>
              <w:t xml:space="preserve">Habiliter les talents et les énergies locales du Sud à travers des parcours d'incubation sectoriels structurés, intégrant l'orientation technique avancée, les mécanismes d'économie circulaire et la connexion aux marchés et aux réseaux de financement durable.</w:t>
            </w:r>
          </w:p>
        </w:tc>
      </w:tr>
    </w:tbl>
    <w:p>
      <w:pPr>
        <w:spacing w:after="200" w:before="200"/>
      </w:pPr>
      <w:r>
        <w:t xml:space="preserve"/>
      </w:r>
    </w:p>
    <w:p>
      <w:pPr>
        <w:pStyle w:val="Heading1"/>
        <w:spacing w:after="200" w:before="400"/>
      </w:pPr>
      <w:r>
        <w:rPr>
          <w:rFonts w:ascii="Calibri" w:cs="Calibri" w:eastAsia="Calibri" w:hAnsi="Calibri"/>
          <w:b/>
          <w:bCs/>
          <w:color w:val="0D3B66"/>
          <w:sz w:val="36"/>
          <w:szCs w:val="36"/>
        </w:rPr>
        <w:t xml:space="preserve">3. Objectifs Stratégiques 2026–2027</w:t>
      </w:r>
    </w:p>
    <w:p>
      <w:pPr>
        <w:pBdr>
          <w:bottom w:val="single" w:color="2E7D32" w:sz="6" w:space="1"/>
        </w:pBdr>
        <w:spacing w:after="120" w:before="120"/>
      </w:pPr>
      <w:r>
        <w:t xml:space="preserve"/>
      </w:r>
    </w:p>
    <w:p>
      <w:pPr>
        <w:spacing w:after="100" w:before="100"/>
      </w:pPr>
      <w:r>
        <w:t xml:space="preserve"/>
      </w:r>
    </w:p>
    <w:p>
      <w:pPr>
        <w:spacing w:after="80" w:before="80"/>
        <w:jc w:val="both"/>
      </w:pPr>
      <w:r>
        <w:rPr>
          <w:rFonts w:ascii="Calibri" w:cs="Calibri" w:eastAsia="Calibri" w:hAnsi="Calibri"/>
          <w:b w:val="false"/>
          <w:bCs w:val="false"/>
          <w:color w:val="333333"/>
          <w:sz w:val="22"/>
          <w:szCs w:val="22"/>
        </w:rPr>
        <w:t xml:space="preserve">Les objectifs de l'incubateur s'inscrivent en convergence directe et organique avec les axes majeurs du programme d'Accélération de la Croissance Verte et de l'Emploi (GGJAP) :</w:t>
      </w:r>
    </w:p>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3.1 Bâtir les Piliers de l'Économie Verte et Durable</w:t>
      </w:r>
    </w:p>
    <w:p>
      <w:pPr>
        <w:pStyle w:val="ListParagraph"/>
        <w:numPr>
          <w:ilvl w:val="0"/>
          <w:numId w:val="2"/>
        </w:numPr>
        <w:spacing w:after="60" w:before="60"/>
      </w:pPr>
      <w:r>
        <w:rPr>
          <w:rFonts w:ascii="Calibri" w:cs="Calibri" w:eastAsia="Calibri" w:hAnsi="Calibri"/>
          <w:b w:val="false"/>
          <w:bCs w:val="false"/>
          <w:sz w:val="22"/>
          <w:szCs w:val="22"/>
        </w:rPr>
        <w:t xml:space="preserve">Orienter les start-ups vers l'adoption de solutions d'énergies renouvelables</w:t>
      </w:r>
    </w:p>
    <w:p>
      <w:pPr>
        <w:pStyle w:val="ListParagraph"/>
        <w:numPr>
          <w:ilvl w:val="0"/>
          <w:numId w:val="2"/>
        </w:numPr>
        <w:spacing w:after="60" w:before="60"/>
      </w:pPr>
      <w:r>
        <w:rPr>
          <w:rFonts w:ascii="Calibri" w:cs="Calibri" w:eastAsia="Calibri" w:hAnsi="Calibri"/>
          <w:b w:val="false"/>
          <w:bCs w:val="false"/>
          <w:sz w:val="22"/>
          <w:szCs w:val="22"/>
        </w:rPr>
        <w:t xml:space="preserve">Développer des technologies d'efficacité dans l'utilisation de l'eau</w:t>
      </w:r>
    </w:p>
    <w:p>
      <w:pPr>
        <w:pStyle w:val="ListParagraph"/>
        <w:numPr>
          <w:ilvl w:val="0"/>
          <w:numId w:val="2"/>
        </w:numPr>
        <w:spacing w:after="60" w:before="60"/>
      </w:pPr>
      <w:r>
        <w:rPr>
          <w:rFonts w:ascii="Calibri" w:cs="Calibri" w:eastAsia="Calibri" w:hAnsi="Calibri"/>
          <w:b w:val="false"/>
          <w:bCs w:val="false"/>
          <w:sz w:val="22"/>
          <w:szCs w:val="22"/>
        </w:rPr>
        <w:t xml:space="preserve">Réduire l'empreinte carbone des projets agricoles et industriels locaux</w:t>
      </w:r>
    </w:p>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3.2 Ingénierie et Localisation de l'Agriculture Intelligente Saharienne (AgriTech)</w:t>
      </w:r>
    </w:p>
    <w:p>
      <w:pPr>
        <w:pStyle w:val="ListParagraph"/>
        <w:numPr>
          <w:ilvl w:val="0"/>
          <w:numId w:val="2"/>
        </w:numPr>
        <w:spacing w:after="60" w:before="60"/>
      </w:pPr>
      <w:r>
        <w:rPr>
          <w:rFonts w:ascii="Calibri" w:cs="Calibri" w:eastAsia="Calibri" w:hAnsi="Calibri"/>
          <w:b w:val="false"/>
          <w:bCs w:val="false"/>
          <w:sz w:val="22"/>
          <w:szCs w:val="22"/>
        </w:rPr>
        <w:t xml:space="preserve">Valoriser les chaînes de valeur des produits des oasis et des plantes médicinales et aromatiques résistantes à la sécheresse</w:t>
      </w:r>
    </w:p>
    <w:p>
      <w:pPr>
        <w:pStyle w:val="ListParagraph"/>
        <w:numPr>
          <w:ilvl w:val="0"/>
          <w:numId w:val="2"/>
        </w:numPr>
        <w:spacing w:after="60" w:before="60"/>
      </w:pPr>
      <w:r>
        <w:rPr>
          <w:rFonts w:ascii="Calibri" w:cs="Calibri" w:eastAsia="Calibri" w:hAnsi="Calibri"/>
          <w:b w:val="false"/>
          <w:bCs w:val="false"/>
          <w:sz w:val="22"/>
          <w:szCs w:val="22"/>
        </w:rPr>
        <w:t xml:space="preserve">Déployer les technologies IoT et l'intelligence artificielle dans les exploitations sahariennes</w:t>
      </w:r>
    </w:p>
    <w:p>
      <w:pPr>
        <w:pStyle w:val="ListParagraph"/>
        <w:numPr>
          <w:ilvl w:val="0"/>
          <w:numId w:val="2"/>
        </w:numPr>
        <w:spacing w:after="60" w:before="60"/>
      </w:pPr>
      <w:r>
        <w:rPr>
          <w:rFonts w:ascii="Calibri" w:cs="Calibri" w:eastAsia="Calibri" w:hAnsi="Calibri"/>
          <w:b w:val="false"/>
          <w:bCs w:val="false"/>
          <w:sz w:val="22"/>
          <w:szCs w:val="22"/>
        </w:rPr>
        <w:t xml:space="preserve">Développer des systèmes d'irrigation intelligents et de fertilisation organique</w:t>
      </w:r>
    </w:p>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3.3 Autonomisation Économique et Sociale Durable</w:t>
      </w:r>
    </w:p>
    <w:p>
      <w:pPr>
        <w:pStyle w:val="ListParagraph"/>
        <w:numPr>
          <w:ilvl w:val="0"/>
          <w:numId w:val="2"/>
        </w:numPr>
        <w:spacing w:after="60" w:before="60"/>
      </w:pPr>
      <w:r>
        <w:rPr>
          <w:rFonts w:ascii="Calibri" w:cs="Calibri" w:eastAsia="Calibri" w:hAnsi="Calibri"/>
          <w:b w:val="false"/>
          <w:bCs w:val="false"/>
          <w:sz w:val="22"/>
          <w:szCs w:val="22"/>
        </w:rPr>
        <w:t xml:space="preserve">Mobiliser et qualifier les jeunes et les femmes dans les zones isolées et les ksour historiques</w:t>
      </w:r>
    </w:p>
    <w:p>
      <w:pPr>
        <w:pStyle w:val="ListParagraph"/>
        <w:numPr>
          <w:ilvl w:val="0"/>
          <w:numId w:val="2"/>
        </w:numPr>
        <w:spacing w:after="60" w:before="60"/>
      </w:pPr>
      <w:r>
        <w:rPr>
          <w:rFonts w:ascii="Calibri" w:cs="Calibri" w:eastAsia="Calibri" w:hAnsi="Calibri"/>
          <w:b w:val="false"/>
          <w:bCs w:val="false"/>
          <w:sz w:val="22"/>
          <w:szCs w:val="22"/>
        </w:rPr>
        <w:t xml:space="preserve">Transformer les communautés locales en acteurs entrepreneuriaux actifs</w:t>
      </w:r>
    </w:p>
    <w:p>
      <w:pPr>
        <w:pStyle w:val="ListParagraph"/>
        <w:numPr>
          <w:ilvl w:val="0"/>
          <w:numId w:val="2"/>
        </w:numPr>
        <w:spacing w:after="60" w:before="60"/>
      </w:pPr>
      <w:r>
        <w:rPr>
          <w:rFonts w:ascii="Calibri" w:cs="Calibri" w:eastAsia="Calibri" w:hAnsi="Calibri"/>
          <w:b w:val="false"/>
          <w:bCs w:val="false"/>
          <w:sz w:val="22"/>
          <w:szCs w:val="22"/>
        </w:rPr>
        <w:t xml:space="preserve">Créer des emplois stables et pérennes contribuant à la diversification économique nationale</w:t>
      </w:r>
    </w:p>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3.4 Valorisation des Produits Locaux et Réduction de la Fracture Numérique</w:t>
      </w:r>
    </w:p>
    <w:p>
      <w:pPr>
        <w:pStyle w:val="ListParagraph"/>
        <w:numPr>
          <w:ilvl w:val="0"/>
          <w:numId w:val="2"/>
        </w:numPr>
        <w:spacing w:after="60" w:before="60"/>
      </w:pPr>
      <w:r>
        <w:rPr>
          <w:rFonts w:ascii="Calibri" w:cs="Calibri" w:eastAsia="Calibri" w:hAnsi="Calibri"/>
          <w:b w:val="false"/>
          <w:bCs w:val="false"/>
          <w:sz w:val="22"/>
          <w:szCs w:val="22"/>
        </w:rPr>
        <w:t xml:space="preserve">Accompagner les artisans et innovateurs vers des modèles de conception éco-responsable</w:t>
      </w:r>
    </w:p>
    <w:p>
      <w:pPr>
        <w:pStyle w:val="ListParagraph"/>
        <w:numPr>
          <w:ilvl w:val="0"/>
          <w:numId w:val="2"/>
        </w:numPr>
        <w:spacing w:after="60" w:before="60"/>
      </w:pPr>
      <w:r>
        <w:rPr>
          <w:rFonts w:ascii="Calibri" w:cs="Calibri" w:eastAsia="Calibri" w:hAnsi="Calibri"/>
          <w:b w:val="false"/>
          <w:bCs w:val="false"/>
          <w:sz w:val="22"/>
          <w:szCs w:val="22"/>
        </w:rPr>
        <w:t xml:space="preserve">Promouvoir le marketing numérique décentralisé via WhatsApp Business et les réseaux sociaux</w:t>
      </w:r>
    </w:p>
    <w:p>
      <w:pPr>
        <w:pStyle w:val="ListParagraph"/>
        <w:numPr>
          <w:ilvl w:val="0"/>
          <w:numId w:val="2"/>
        </w:numPr>
        <w:spacing w:after="60" w:before="60"/>
      </w:pPr>
      <w:r>
        <w:rPr>
          <w:rFonts w:ascii="Calibri" w:cs="Calibri" w:eastAsia="Calibri" w:hAnsi="Calibri"/>
          <w:b w:val="false"/>
          <w:bCs w:val="false"/>
          <w:sz w:val="22"/>
          <w:szCs w:val="22"/>
        </w:rPr>
        <w:t xml:space="preserve">Développer des plateformes de commerce électronique adaptées aux contextes locaux isolés</w:t>
      </w:r>
    </w:p>
    <w:p>
      <w:pPr>
        <w:spacing w:after="200" w:before="200"/>
      </w:pPr>
      <w:r>
        <w:t xml:space="preserve"/>
      </w:r>
    </w:p>
    <w:p>
      <w:pPr>
        <w:pStyle w:val="Heading1"/>
        <w:spacing w:after="200" w:before="400"/>
      </w:pPr>
      <w:r>
        <w:rPr>
          <w:rFonts w:ascii="Calibri" w:cs="Calibri" w:eastAsia="Calibri" w:hAnsi="Calibri"/>
          <w:b/>
          <w:bCs/>
          <w:color w:val="0D3B66"/>
          <w:sz w:val="36"/>
          <w:szCs w:val="36"/>
        </w:rPr>
        <w:t xml:space="preserve">4. Programmes d'Accompagnement — Parcours de 6 Mois</w:t>
      </w:r>
    </w:p>
    <w:p>
      <w:pPr>
        <w:pBdr>
          <w:bottom w:val="single" w:color="2E7D32" w:sz="6" w:space="1"/>
        </w:pBdr>
        <w:spacing w:after="120" w:before="120"/>
      </w:pPr>
      <w:r>
        <w:t xml:space="preserve"/>
      </w:r>
    </w:p>
    <w:p>
      <w:pPr>
        <w:spacing w:after="100" w:before="100"/>
      </w:pPr>
      <w:r>
        <w:t xml:space="preserve"/>
      </w:r>
    </w:p>
    <w:p>
      <w:pPr>
        <w:spacing w:after="80" w:before="80"/>
        <w:jc w:val="both"/>
      </w:pPr>
      <w:r>
        <w:rPr>
          <w:rFonts w:ascii="Calibri" w:cs="Calibri" w:eastAsia="Calibri" w:hAnsi="Calibri"/>
          <w:b w:val="false"/>
          <w:bCs w:val="false"/>
          <w:color w:val="333333"/>
          <w:sz w:val="22"/>
          <w:szCs w:val="22"/>
        </w:rPr>
        <w:t xml:space="preserve">L'incubateur déploie des outils de formation flexibles et hautement efficaces, conçus sur mesure pour s'adapter à la nature socioéconomique du Sud algérien. Quatre programmes sectoriels principaux structurent l'offre d'accompagnement :</w:t>
      </w:r>
    </w:p>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4.1 Programme AgriTech &amp; Cleantech — Innovation Verte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jc w:val="center"/>
            </w:pPr>
            <w:r>
              <w:rPr>
                <w:rFonts w:ascii="Calibri" w:cs="Calibri" w:eastAsia="Calibri" w:hAnsi="Calibri"/>
                <w:b/>
                <w:bCs/>
                <w:color w:val="FFFFFF"/>
                <w:sz w:val="24"/>
                <w:szCs w:val="24"/>
              </w:rPr>
              <w:t xml:space="preserve">Contenu de Formation</w:t>
            </w:r>
          </w:p>
        </w:tc>
      </w:tr>
      <w:tr>
        <w:tc>
          <w:tcPr>
            <w:tcW w:type="dxa" w:w="9026"/>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Reformulation de la matrice Canvas adaptée à la production saharienne</w:t>
            </w:r>
          </w:p>
        </w:tc>
      </w:tr>
      <w:tr>
        <w:tc>
          <w:tcPr>
            <w:tcW w:type="dxa" w:w="9026"/>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Formation intensive en systèmes d'irrigation intelligents et fertilisation organique</w:t>
            </w:r>
          </w:p>
        </w:tc>
      </w:tr>
      <w:tr>
        <w:tc>
          <w:tcPr>
            <w:tcW w:type="dxa" w:w="9026"/>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Exploitation des pompes solaires dans les exploitations agricoles isolées</w:t>
            </w:r>
          </w:p>
        </w:tc>
      </w:tr>
      <w:tr>
        <w:tc>
          <w:tcPr>
            <w:tcW w:type="dxa" w:w="9026"/>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Réduction de l'empreinte carbone et de la consommation hydrique comme critères de performance</w:t>
            </w:r>
          </w:p>
        </w:tc>
      </w:tr>
    </w:tbl>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4.2 Programme Tourisme Durable &amp; Artisanat Traditionnel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jc w:val="center"/>
            </w:pPr>
            <w:r>
              <w:rPr>
                <w:rFonts w:ascii="Calibri" w:cs="Calibri" w:eastAsia="Calibri" w:hAnsi="Calibri"/>
                <w:b/>
                <w:bCs/>
                <w:color w:val="FFFFFF"/>
                <w:sz w:val="24"/>
                <w:szCs w:val="24"/>
              </w:rPr>
              <w:t xml:space="preserve">Contenu de Formation</w:t>
            </w:r>
          </w:p>
        </w:tc>
      </w:tr>
      <w:tr>
        <w:tc>
          <w:tcPr>
            <w:tcW w:type="dxa" w:w="9026"/>
            <w:tcBorders>
              <w:top w:val="none" w:color="FFFFFF" w:sz="0"/>
              <w:left w:val="none" w:color="FFFFFF" w:sz="0"/>
              <w:bottom w:val="none" w:color="FFFFFF" w:sz="0"/>
              <w:right w:val="none" w:color="FFFFFF" w:sz="0"/>
            </w:tcBorders>
            <w:shd w:fill="FFF8E1"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Activation du concept « Artisan-Entrepreneur » pour la préservation du patrimoine matériel</w:t>
            </w:r>
          </w:p>
        </w:tc>
      </w:tr>
      <w:tr>
        <w:tc>
          <w:tcPr>
            <w:tcW w:type="dxa" w:w="9026"/>
            <w:tcBorders>
              <w:top w:val="none" w:color="FFFFFF" w:sz="0"/>
              <w:left w:val="none" w:color="FFFFFF" w:sz="0"/>
              <w:bottom w:val="none" w:color="FFFFFF" w:sz="0"/>
              <w:right w:val="none" w:color="FFFFFF" w:sz="0"/>
            </w:tcBorders>
            <w:shd w:fill="FFF8E1"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Développement de lignes d'emballage bio-sourcé à partir des résidus de palmier dattier</w:t>
            </w:r>
          </w:p>
        </w:tc>
      </w:tr>
      <w:tr>
        <w:tc>
          <w:tcPr>
            <w:tcW w:type="dxa" w:w="9026"/>
            <w:tcBorders>
              <w:top w:val="none" w:color="FFFFFF" w:sz="0"/>
              <w:left w:val="none" w:color="FFFFFF" w:sz="0"/>
              <w:bottom w:val="none" w:color="FFFFFF" w:sz="0"/>
              <w:right w:val="none" w:color="FFFFFF" w:sz="0"/>
            </w:tcBorders>
            <w:shd w:fill="FFF8E1"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Connexion des circuits éco-touristiques des ksour historiques au développement solidaire local</w:t>
            </w:r>
          </w:p>
        </w:tc>
      </w:tr>
      <w:tr>
        <w:tc>
          <w:tcPr>
            <w:tcW w:type="dxa" w:w="9026"/>
            <w:tcBorders>
              <w:top w:val="none" w:color="FFFFFF" w:sz="0"/>
              <w:left w:val="none" w:color="FFFFFF" w:sz="0"/>
              <w:bottom w:val="none" w:color="FFFFFF" w:sz="0"/>
              <w:right w:val="none" w:color="FFFFFF" w:sz="0"/>
            </w:tcBorders>
            <w:shd w:fill="FFF8E1"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Marketing digital et valorisation des savoir-faire traditionnels sur les plateformes numériques</w:t>
            </w:r>
          </w:p>
        </w:tc>
      </w:tr>
    </w:tbl>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4.3 Programme Innovation Sociale, Santé &amp; Éducation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jc w:val="center"/>
            </w:pPr>
            <w:r>
              <w:rPr>
                <w:rFonts w:ascii="Calibri" w:cs="Calibri" w:eastAsia="Calibri" w:hAnsi="Calibri"/>
                <w:b/>
                <w:bCs/>
                <w:color w:val="FFFFFF"/>
                <w:sz w:val="24"/>
                <w:szCs w:val="24"/>
              </w:rPr>
              <w:t xml:space="preserve">Contenu de Formation</w:t>
            </w:r>
          </w:p>
        </w:tc>
      </w:tr>
      <w:tr>
        <w:tc>
          <w:tcPr>
            <w:tcW w:type="dxa" w:w="9026"/>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Structuration de cliniques de soins primaires et centres de services médicaux dans les zones non desservies</w:t>
            </w:r>
          </w:p>
        </w:tc>
      </w:tr>
      <w:tr>
        <w:tc>
          <w:tcPr>
            <w:tcW w:type="dxa" w:w="9026"/>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Intégration des solutions de télémédecine pour pallier l'isolement géographique</w:t>
            </w:r>
          </w:p>
        </w:tc>
      </w:tr>
      <w:tr>
        <w:tc>
          <w:tcPr>
            <w:tcW w:type="dxa" w:w="9026"/>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Accompagnement des initiatives éducatives et de sensibilisation à impact social direct</w:t>
            </w:r>
          </w:p>
        </w:tc>
      </w:tr>
      <w:tr>
        <w:tc>
          <w:tcPr>
            <w:tcW w:type="dxa" w:w="9026"/>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Développement de modèles d'entrepreneuriat social adaptés aux spécificités du Sahara</w:t>
            </w:r>
          </w:p>
        </w:tc>
      </w:tr>
    </w:tbl>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4.4 Programme Transformation Numérique &amp; Commerce Électronique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jc w:val="center"/>
            </w:pPr>
            <w:r>
              <w:rPr>
                <w:rFonts w:ascii="Calibri" w:cs="Calibri" w:eastAsia="Calibri" w:hAnsi="Calibri"/>
                <w:b/>
                <w:bCs/>
                <w:color w:val="FFFFFF"/>
                <w:sz w:val="24"/>
                <w:szCs w:val="24"/>
              </w:rPr>
              <w:t xml:space="preserve">Contenu de Formation</w:t>
            </w:r>
          </w:p>
        </w:tc>
      </w:tr>
      <w:tr>
        <w:tc>
          <w:tcPr>
            <w:tcW w:type="dxa" w:w="9026"/>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Formation spécialisée basée sur les smartphones et applications décentralisées</w:t>
            </w:r>
          </w:p>
        </w:tc>
      </w:tr>
      <w:tr>
        <w:tc>
          <w:tcPr>
            <w:tcW w:type="dxa" w:w="9026"/>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Maîtrise des plateformes de marketing via réseaux sociaux et WhatsApp Business</w:t>
            </w:r>
          </w:p>
        </w:tc>
      </w:tr>
      <w:tr>
        <w:tc>
          <w:tcPr>
            <w:tcW w:type="dxa" w:w="9026"/>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Solutions adaptées aux villages isolés souffrant de pénurie d'équipements informatiques</w:t>
            </w:r>
          </w:p>
        </w:tc>
      </w:tr>
      <w:tr>
        <w:tc>
          <w:tcPr>
            <w:tcW w:type="dxa" w:w="9026"/>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Développement de boutiques en ligne et systèmes de paiement mobile pour entrepreneurs locaux</w:t>
            </w:r>
          </w:p>
        </w:tc>
      </w:tr>
    </w:tbl>
    <w:p>
      <w:pPr>
        <w:spacing w:after="200" w:before="200"/>
      </w:pPr>
      <w:r>
        <w:t xml:space="preserve"/>
      </w:r>
    </w:p>
    <w:p>
      <w:pPr>
        <w:pStyle w:val="Heading1"/>
        <w:spacing w:after="200" w:before="400"/>
      </w:pPr>
      <w:r>
        <w:rPr>
          <w:rFonts w:ascii="Calibri" w:cs="Calibri" w:eastAsia="Calibri" w:hAnsi="Calibri"/>
          <w:b/>
          <w:bCs/>
          <w:color w:val="0D3B66"/>
          <w:sz w:val="36"/>
          <w:szCs w:val="36"/>
        </w:rPr>
        <w:t xml:space="preserve">5. Modèle d'Incubation — Tunnel d'Accompagnement</w:t>
      </w:r>
    </w:p>
    <w:p>
      <w:pPr>
        <w:pBdr>
          <w:bottom w:val="single" w:color="2E7D32" w:sz="6" w:space="1"/>
        </w:pBdr>
        <w:spacing w:after="120" w:before="120"/>
      </w:pPr>
      <w:r>
        <w:t xml:space="preserve"/>
      </w:r>
    </w:p>
    <w:p>
      <w:pPr>
        <w:spacing w:after="100" w:before="100"/>
      </w:pPr>
      <w:r>
        <w:t xml:space="preserve"/>
      </w:r>
    </w:p>
    <w:p>
      <w:pPr>
        <w:spacing w:after="80" w:before="80"/>
        <w:jc w:val="both"/>
      </w:pPr>
      <w:r>
        <w:rPr>
          <w:rFonts w:ascii="Calibri" w:cs="Calibri" w:eastAsia="Calibri" w:hAnsi="Calibri"/>
          <w:b w:val="false"/>
          <w:bCs w:val="false"/>
          <w:color w:val="333333"/>
          <w:sz w:val="22"/>
          <w:szCs w:val="22"/>
        </w:rPr>
        <w:t xml:space="preserve">L'incubateur applique un modèle d'accélération rigoureux en quatre phases opérationnelles, garantissant la qualité des résultats d'investissement et maximisant l'impact socioéconomique sur les territoires ciblés.</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c>
          <w:tcPr>
            <w:tcW w:type="dxa" w:w="600"/>
            <w:tcBorders>
              <w:top w:val="single" w:color="CCCCCC" w:sz="1"/>
              <w:left w:val="single" w:color="CCCCCC" w:sz="1"/>
              <w:bottom w:val="single" w:color="CCCCCC" w:sz="1"/>
              <w:right w:val="single" w:color="CCCCCC" w:sz="1"/>
            </w:tcBorders>
            <w:shd w:fill="2E7D32" w:val="clear"/>
            <w:tcMar>
              <w:top w:type="dxa" w:w="120"/>
              <w:left w:type="dxa" w:w="150"/>
              <w:bottom w:type="dxa" w:w="120"/>
              <w:right w:type="dxa" w:w="150"/>
            </w:tcMar>
            <w:vAlign w:val="center"/>
          </w:tcPr>
          <w:p>
            <w:pPr>
              <w:jc w:val="center"/>
            </w:pPr>
            <w:r>
              <w:rPr>
                <w:rFonts w:ascii="Calibri" w:cs="Calibri" w:eastAsia="Calibri" w:hAnsi="Calibri"/>
                <w:b/>
                <w:bCs/>
                <w:color w:val="FFFFFF"/>
                <w:sz w:val="28"/>
                <w:szCs w:val="28"/>
              </w:rPr>
              <w:t xml:space="preserve">01</w:t>
            </w:r>
          </w:p>
        </w:tc>
        <w:tc>
          <w:tcPr>
            <w:tcW w:type="dxa" w:w="260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vAlign w:val="center"/>
          </w:tcPr>
          <w:p>
            <w:r>
              <w:rPr>
                <w:rFonts w:ascii="Calibri" w:cs="Calibri" w:eastAsia="Calibri" w:hAnsi="Calibri"/>
                <w:b/>
                <w:bCs/>
                <w:color w:val="0D3B66"/>
                <w:sz w:val="22"/>
                <w:szCs w:val="22"/>
              </w:rPr>
              <w:t xml:space="preserve">Sensibilisation &amp; Mobilisation</w:t>
            </w:r>
          </w:p>
          <w:p>
            <w:r>
              <w:rPr>
                <w:rFonts w:ascii="Calibri" w:cs="Calibri" w:eastAsia="Calibri" w:hAnsi="Calibri"/>
                <w:i/>
                <w:iCs/>
                <w:color w:val="2E7D32"/>
                <w:sz w:val="18"/>
                <w:szCs w:val="18"/>
              </w:rPr>
              <w:t xml:space="preserve">Durée : 1 mois</w:t>
            </w:r>
          </w:p>
        </w:tc>
        <w:tc>
          <w:tcPr>
            <w:tcW w:type="dxa" w:w="5826"/>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center"/>
          </w:tcPr>
          <w:p>
            <w:pPr>
              <w:jc w:val="both"/>
            </w:pPr>
            <w:r>
              <w:rPr>
                <w:rFonts w:ascii="Calibri" w:cs="Calibri" w:eastAsia="Calibri" w:hAnsi="Calibri"/>
                <w:color w:val="444444"/>
                <w:sz w:val="20"/>
                <w:szCs w:val="20"/>
              </w:rPr>
              <w:t xml:space="preserve">Campagnes de recrutement local via radios, associations et canaux numériques pour identifier les porteurs de projets prometteurs</w:t>
            </w:r>
          </w:p>
        </w:tc>
      </w:tr>
      <w:tr>
        <w:tc>
          <w:tcPr>
            <w:tcW w:type="dxa" w:w="600"/>
            <w:tcBorders>
              <w:top w:val="single" w:color="CCCCCC" w:sz="1"/>
              <w:left w:val="single" w:color="CCCCCC" w:sz="1"/>
              <w:bottom w:val="single" w:color="CCCCCC" w:sz="1"/>
              <w:right w:val="single" w:color="CCCCCC" w:sz="1"/>
            </w:tcBorders>
            <w:shd w:fill="0D3B66" w:val="clear"/>
            <w:tcMar>
              <w:top w:type="dxa" w:w="120"/>
              <w:left w:type="dxa" w:w="150"/>
              <w:bottom w:type="dxa" w:w="120"/>
              <w:right w:type="dxa" w:w="150"/>
            </w:tcMar>
            <w:vAlign w:val="center"/>
          </w:tcPr>
          <w:p>
            <w:pPr>
              <w:jc w:val="center"/>
            </w:pPr>
            <w:r>
              <w:rPr>
                <w:rFonts w:ascii="Calibri" w:cs="Calibri" w:eastAsia="Calibri" w:hAnsi="Calibri"/>
                <w:b/>
                <w:bCs/>
                <w:color w:val="FFFFFF"/>
                <w:sz w:val="28"/>
                <w:szCs w:val="28"/>
              </w:rPr>
              <w:t xml:space="preserve">02</w:t>
            </w:r>
          </w:p>
        </w:tc>
        <w:tc>
          <w:tcPr>
            <w:tcW w:type="dxa" w:w="260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vAlign w:val="center"/>
          </w:tcPr>
          <w:p>
            <w:r>
              <w:rPr>
                <w:rFonts w:ascii="Calibri" w:cs="Calibri" w:eastAsia="Calibri" w:hAnsi="Calibri"/>
                <w:b/>
                <w:bCs/>
                <w:color w:val="0D3B66"/>
                <w:sz w:val="22"/>
                <w:szCs w:val="22"/>
              </w:rPr>
              <w:t xml:space="preserve">Pré-Incubation</w:t>
            </w:r>
          </w:p>
          <w:p>
            <w:r>
              <w:rPr>
                <w:rFonts w:ascii="Calibri" w:cs="Calibri" w:eastAsia="Calibri" w:hAnsi="Calibri"/>
                <w:i/>
                <w:iCs/>
                <w:color w:val="2E7D32"/>
                <w:sz w:val="18"/>
                <w:szCs w:val="18"/>
              </w:rPr>
              <w:t xml:space="preserve">Durée : 1–2 mois</w:t>
            </w:r>
          </w:p>
        </w:tc>
        <w:tc>
          <w:tcPr>
            <w:tcW w:type="dxa" w:w="5826"/>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center"/>
          </w:tcPr>
          <w:p>
            <w:pPr>
              <w:jc w:val="both"/>
            </w:pPr>
            <w:r>
              <w:rPr>
                <w:rFonts w:ascii="Calibri" w:cs="Calibri" w:eastAsia="Calibri" w:hAnsi="Calibri"/>
                <w:color w:val="444444"/>
                <w:sz w:val="20"/>
                <w:szCs w:val="20"/>
              </w:rPr>
              <w:t xml:space="preserve">Validation de la faisabilité technique et commerciale sur le terrain — construction d'une valeur ajoutée réelle pour résoudre les problèmes du marché</w:t>
            </w:r>
          </w:p>
        </w:tc>
      </w:tr>
      <w:tr>
        <w:tc>
          <w:tcPr>
            <w:tcW w:type="dxa" w:w="600"/>
            <w:tcBorders>
              <w:top w:val="single" w:color="CCCCCC" w:sz="1"/>
              <w:left w:val="single" w:color="CCCCCC" w:sz="1"/>
              <w:bottom w:val="single" w:color="CCCCCC" w:sz="1"/>
              <w:right w:val="single" w:color="CCCCCC" w:sz="1"/>
            </w:tcBorders>
            <w:shd w:fill="2E7D32" w:val="clear"/>
            <w:tcMar>
              <w:top w:type="dxa" w:w="120"/>
              <w:left w:type="dxa" w:w="150"/>
              <w:bottom w:type="dxa" w:w="120"/>
              <w:right w:type="dxa" w:w="150"/>
            </w:tcMar>
            <w:vAlign w:val="center"/>
          </w:tcPr>
          <w:p>
            <w:pPr>
              <w:jc w:val="center"/>
            </w:pPr>
            <w:r>
              <w:rPr>
                <w:rFonts w:ascii="Calibri" w:cs="Calibri" w:eastAsia="Calibri" w:hAnsi="Calibri"/>
                <w:b/>
                <w:bCs/>
                <w:color w:val="FFFFFF"/>
                <w:sz w:val="28"/>
                <w:szCs w:val="28"/>
              </w:rPr>
              <w:t xml:space="preserve">03</w:t>
            </w:r>
          </w:p>
        </w:tc>
        <w:tc>
          <w:tcPr>
            <w:tcW w:type="dxa" w:w="260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vAlign w:val="center"/>
          </w:tcPr>
          <w:p>
            <w:r>
              <w:rPr>
                <w:rFonts w:ascii="Calibri" w:cs="Calibri" w:eastAsia="Calibri" w:hAnsi="Calibri"/>
                <w:b/>
                <w:bCs/>
                <w:color w:val="0D3B66"/>
                <w:sz w:val="22"/>
                <w:szCs w:val="22"/>
              </w:rPr>
              <w:t xml:space="preserve">Incubation Effective</w:t>
            </w:r>
          </w:p>
          <w:p>
            <w:r>
              <w:rPr>
                <w:rFonts w:ascii="Calibri" w:cs="Calibri" w:eastAsia="Calibri" w:hAnsi="Calibri"/>
                <w:i/>
                <w:iCs/>
                <w:color w:val="2E7D32"/>
                <w:sz w:val="18"/>
                <w:szCs w:val="18"/>
              </w:rPr>
              <w:t xml:space="preserve">Durée : 4–6 mois</w:t>
            </w:r>
          </w:p>
        </w:tc>
        <w:tc>
          <w:tcPr>
            <w:tcW w:type="dxa" w:w="5826"/>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center"/>
          </w:tcPr>
          <w:p>
            <w:pPr>
              <w:jc w:val="both"/>
            </w:pPr>
            <w:r>
              <w:rPr>
                <w:rFonts w:ascii="Calibri" w:cs="Calibri" w:eastAsia="Calibri" w:hAnsi="Calibri"/>
                <w:color w:val="444444"/>
                <w:sz w:val="20"/>
                <w:szCs w:val="20"/>
              </w:rPr>
              <w:t xml:space="preserve">Accompagnement juridique et financier complet pour la construction du Produit Minimum Viable (MVP) et la création de l'entité légale de l'entreprise</w:t>
            </w:r>
          </w:p>
        </w:tc>
      </w:tr>
      <w:tr>
        <w:tc>
          <w:tcPr>
            <w:tcW w:type="dxa" w:w="600"/>
            <w:tcBorders>
              <w:top w:val="single" w:color="CCCCCC" w:sz="1"/>
              <w:left w:val="single" w:color="CCCCCC" w:sz="1"/>
              <w:bottom w:val="single" w:color="CCCCCC" w:sz="1"/>
              <w:right w:val="single" w:color="CCCCCC" w:sz="1"/>
            </w:tcBorders>
            <w:shd w:fill="0D3B66" w:val="clear"/>
            <w:tcMar>
              <w:top w:type="dxa" w:w="120"/>
              <w:left w:type="dxa" w:w="150"/>
              <w:bottom w:type="dxa" w:w="120"/>
              <w:right w:type="dxa" w:w="150"/>
            </w:tcMar>
            <w:vAlign w:val="center"/>
          </w:tcPr>
          <w:p>
            <w:pPr>
              <w:jc w:val="center"/>
            </w:pPr>
            <w:r>
              <w:rPr>
                <w:rFonts w:ascii="Calibri" w:cs="Calibri" w:eastAsia="Calibri" w:hAnsi="Calibri"/>
                <w:b/>
                <w:bCs/>
                <w:color w:val="FFFFFF"/>
                <w:sz w:val="28"/>
                <w:szCs w:val="28"/>
              </w:rPr>
              <w:t xml:space="preserve">04</w:t>
            </w:r>
          </w:p>
        </w:tc>
        <w:tc>
          <w:tcPr>
            <w:tcW w:type="dxa" w:w="260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vAlign w:val="center"/>
          </w:tcPr>
          <w:p>
            <w:r>
              <w:rPr>
                <w:rFonts w:ascii="Calibri" w:cs="Calibri" w:eastAsia="Calibri" w:hAnsi="Calibri"/>
                <w:b/>
                <w:bCs/>
                <w:color w:val="0D3B66"/>
                <w:sz w:val="22"/>
                <w:szCs w:val="22"/>
              </w:rPr>
              <w:t xml:space="preserve">Accélération &amp; Accès aux Marchés</w:t>
            </w:r>
          </w:p>
          <w:p>
            <w:r>
              <w:rPr>
                <w:rFonts w:ascii="Calibri" w:cs="Calibri" w:eastAsia="Calibri" w:hAnsi="Calibri"/>
                <w:i/>
                <w:iCs/>
                <w:color w:val="2E7D32"/>
                <w:sz w:val="18"/>
                <w:szCs w:val="18"/>
              </w:rPr>
              <w:t xml:space="preserve">Durée : 3 mois</w:t>
            </w:r>
          </w:p>
        </w:tc>
        <w:tc>
          <w:tcPr>
            <w:tcW w:type="dxa" w:w="5826"/>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center"/>
          </w:tcPr>
          <w:p>
            <w:pPr>
              <w:jc w:val="both"/>
            </w:pPr>
            <w:r>
              <w:rPr>
                <w:rFonts w:ascii="Calibri" w:cs="Calibri" w:eastAsia="Calibri" w:hAnsi="Calibri"/>
                <w:color w:val="444444"/>
                <w:sz w:val="20"/>
                <w:szCs w:val="20"/>
              </w:rPr>
              <w:t xml:space="preserve">Mise en réseau, participation aux salons nationaux et préparation des dossiers d'investissement pour l'obtention de financements bancaires et institutionnels</w:t>
            </w:r>
          </w:p>
        </w:tc>
      </w:tr>
    </w:tbl>
    <w:p>
      <w:pPr>
        <w:spacing w:after="200" w:before="200"/>
      </w:pPr>
      <w:r>
        <w:t xml:space="preserve"/>
      </w:r>
    </w:p>
    <w:p>
      <w:pPr>
        <w:pStyle w:val="Heading1"/>
        <w:spacing w:after="200" w:before="400"/>
      </w:pPr>
      <w:r>
        <w:rPr>
          <w:rFonts w:ascii="Calibri" w:cs="Calibri" w:eastAsia="Calibri" w:hAnsi="Calibri"/>
          <w:b/>
          <w:bCs/>
          <w:color w:val="0D3B66"/>
          <w:sz w:val="36"/>
          <w:szCs w:val="36"/>
        </w:rPr>
        <w:t xml:space="preserve">6. Infrastructures et Capacités Techniques</w:t>
      </w:r>
    </w:p>
    <w:p>
      <w:pPr>
        <w:pBdr>
          <w:bottom w:val="single" w:color="2E7D32" w:sz="6" w:space="1"/>
        </w:pBdr>
        <w:spacing w:after="120" w:before="120"/>
      </w:pPr>
      <w:r>
        <w:t xml:space="preserve"/>
      </w:r>
    </w:p>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6.1 Capacités Physiques</w:t>
      </w:r>
    </w:p>
    <w:p>
      <w:pPr>
        <w:spacing w:after="80" w:before="80"/>
        <w:jc w:val="both"/>
      </w:pPr>
      <w:r>
        <w:rPr>
          <w:rFonts w:ascii="Calibri" w:cs="Calibri" w:eastAsia="Calibri" w:hAnsi="Calibri"/>
          <w:b w:val="false"/>
          <w:bCs w:val="false"/>
          <w:color w:val="333333"/>
          <w:sz w:val="22"/>
          <w:szCs w:val="22"/>
        </w:rPr>
        <w:t xml:space="preserve">L'incubateur dispose d'une infrastructure complète garantissant un environnement de travail sécurisé et stimulant pour l'innovation :</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13"/>
        <w:gridCol w:w="4213"/>
      </w:tblGrid>
      <w:tr>
        <w:trPr>
          <w:tblHeader/>
        </w:trPr>
        <w:tc>
          <w:tcPr>
            <w:tcW w:type="dxa" w:w="2800"/>
            <w:tcBorders>
              <w:top w:val="single" w:color="CCCCCC" w:sz="1"/>
              <w:left w:val="single" w:color="CCCCCC" w:sz="1"/>
              <w:bottom w:val="single" w:color="CCCCCC" w:sz="1"/>
              <w:right w:val="single" w:color="CCCCCC" w:sz="1"/>
            </w:tcBorders>
            <w:shd w:fill="0D3B6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Infrastructure / Espace</w:t>
            </w:r>
          </w:p>
        </w:tc>
        <w:tc>
          <w:tcPr>
            <w:tcW w:type="dxa" w:w="2013"/>
            <w:tcBorders>
              <w:top w:val="single" w:color="CCCCCC" w:sz="1"/>
              <w:left w:val="single" w:color="CCCCCC" w:sz="1"/>
              <w:bottom w:val="single" w:color="CCCCCC" w:sz="1"/>
              <w:right w:val="single" w:color="CCCCCC" w:sz="1"/>
            </w:tcBorders>
            <w:shd w:fill="0D3B6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Capacité Journalière</w:t>
            </w:r>
          </w:p>
        </w:tc>
        <w:tc>
          <w:tcPr>
            <w:tcW w:type="dxa" w:w="4213"/>
            <w:tcBorders>
              <w:top w:val="single" w:color="CCCCCC" w:sz="1"/>
              <w:left w:val="single" w:color="CCCCCC" w:sz="1"/>
              <w:bottom w:val="single" w:color="CCCCCC" w:sz="1"/>
              <w:right w:val="single" w:color="CCCCCC" w:sz="1"/>
            </w:tcBorders>
            <w:shd w:fill="0D3B6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Équipements &amp; Rôle Fonctionnel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Espace de Coworking</w:t>
            </w:r>
          </w:p>
        </w:tc>
        <w:tc>
          <w:tcPr>
            <w:tcW w:type="dxa" w:w="2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10 à 15 bénéficiaires</w:t>
            </w:r>
          </w:p>
        </w:tc>
        <w:tc>
          <w:tcPr>
            <w:tcW w:type="dxa" w:w="42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Internet haut débit, espaces flexibles pour le réseautage entrepreneurial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Bureaux privés de l'incubateur</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2 bureaux indépendants</w:t>
            </w:r>
          </w:p>
        </w:tc>
        <w:tc>
          <w:tcPr>
            <w:tcW w:type="dxa" w:w="4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Dédiés aux start-ups en phase avancée de création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Salle de formation &amp; réunions</w:t>
            </w:r>
          </w:p>
        </w:tc>
        <w:tc>
          <w:tcPr>
            <w:tcW w:type="dxa" w:w="2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15 à 20 places</w:t>
            </w:r>
          </w:p>
        </w:tc>
        <w:tc>
          <w:tcPr>
            <w:tcW w:type="dxa" w:w="42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Systèmes de présentation, visioconférence haute définition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Laboratoire AgriTech FabLab</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3 à 5 utilisateurs</w:t>
            </w:r>
          </w:p>
        </w:tc>
        <w:tc>
          <w:tcPr>
            <w:tcW w:type="dxa" w:w="4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Espace technique pour développement et test de prototypes électroniques et mécaniques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0D3B66"/>
                <w:sz w:val="20"/>
                <w:szCs w:val="20"/>
              </w:rPr>
              <w:t xml:space="preserve">TOTAL capacité physique</w:t>
            </w:r>
          </w:p>
        </w:tc>
        <w:tc>
          <w:tcPr>
            <w:tcW w:type="dxa" w:w="20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0D3B66"/>
                <w:sz w:val="20"/>
                <w:szCs w:val="20"/>
              </w:rPr>
              <w:t xml:space="preserve">20 à 25 bénéficiaires</w:t>
            </w:r>
          </w:p>
        </w:tc>
        <w:tc>
          <w:tcPr>
            <w:tcW w:type="dxa" w:w="42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0D3B66"/>
                <w:sz w:val="20"/>
                <w:szCs w:val="20"/>
              </w:rPr>
              <w:t xml:space="preserve">Accueil simultané, couverture des lignes de promotion directes</w:t>
            </w:r>
          </w:p>
        </w:tc>
      </w:tr>
    </w:tbl>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6.2 Stratégie d'Accompagnement Hybride et à Distance (Remote Incubation)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jc w:val="center"/>
            </w:pPr>
            <w:r>
              <w:rPr>
                <w:rFonts w:ascii="Calibri" w:cs="Calibri" w:eastAsia="Calibri" w:hAnsi="Calibri"/>
                <w:b/>
                <w:bCs/>
                <w:color w:val="FFFFFF"/>
                <w:sz w:val="24"/>
                <w:szCs w:val="24"/>
              </w:rPr>
              <w:t xml:space="preserve">Capacité Étendue grâce au Numérique</w:t>
            </w:r>
          </w:p>
        </w:tc>
      </w:tr>
      <w:tr>
        <w:tc>
          <w:tcPr>
            <w:tcW w:type="dxa" w:w="9026"/>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En raison de la superficie géographique étendue des cinq wilayas ciblées,</w:t>
            </w:r>
          </w:p>
        </w:tc>
      </w:tr>
      <w:tr>
        <w:tc>
          <w:tcPr>
            <w:tcW w:type="dxa" w:w="9026"/>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l'incubateur a adopté un système d'accompagnement numérique hybride.</w:t>
            </w:r>
          </w:p>
        </w:tc>
      </w:tr>
      <w:tr>
        <w:tc>
          <w:tcPr>
            <w:tcW w:type="dxa" w:w="9026"/>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Cette approche élève sa capacité d'absorption de 20 bénéficiaires physiques</w:t>
            </w:r>
          </w:p>
        </w:tc>
      </w:tr>
      <w:tr>
        <w:tc>
          <w:tcPr>
            <w:tcW w:type="dxa" w:w="9026"/>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à plus de 60 projets accompagnés en parallèle via les plateformes virtuelles,</w:t>
            </w:r>
          </w:p>
        </w:tc>
      </w:tr>
      <w:tr>
        <w:tc>
          <w:tcPr>
            <w:tcW w:type="dxa" w:w="9026"/>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éliminant totalement l'obstacle des distances géographiques dans le Sud algérien.</w:t>
            </w:r>
          </w:p>
        </w:tc>
      </w:tr>
    </w:tbl>
    <w:p>
      <w:pPr>
        <w:spacing w:after="200" w:before="200"/>
      </w:pPr>
      <w:r>
        <w:t xml:space="preserve"/>
      </w:r>
    </w:p>
    <w:p>
      <w:pPr>
        <w:pStyle w:val="Heading1"/>
        <w:spacing w:after="200" w:before="400"/>
      </w:pPr>
      <w:r>
        <w:rPr>
          <w:rFonts w:ascii="Calibri" w:cs="Calibri" w:eastAsia="Calibri" w:hAnsi="Calibri"/>
          <w:b/>
          <w:bCs/>
          <w:color w:val="0D3B66"/>
          <w:sz w:val="36"/>
          <w:szCs w:val="36"/>
        </w:rPr>
        <w:t xml:space="preserve">7. Organisation et Gouvernance</w:t>
      </w:r>
    </w:p>
    <w:p>
      <w:pPr>
        <w:pBdr>
          <w:bottom w:val="single" w:color="2E7D32" w:sz="6" w:space="1"/>
        </w:pBdr>
        <w:spacing w:after="120" w:before="120"/>
      </w:pPr>
      <w:r>
        <w:t xml:space="preserve"/>
      </w:r>
    </w:p>
    <w:p>
      <w:pPr>
        <w:spacing w:after="100" w:before="100"/>
      </w:pPr>
      <w:r>
        <w:t xml:space="preserve"/>
      </w:r>
    </w:p>
    <w:p>
      <w:pPr>
        <w:spacing w:after="80" w:before="80"/>
        <w:jc w:val="both"/>
      </w:pPr>
      <w:r>
        <w:rPr>
          <w:rFonts w:ascii="Calibri" w:cs="Calibri" w:eastAsia="Calibri" w:hAnsi="Calibri"/>
          <w:b w:val="false"/>
          <w:bCs w:val="false"/>
          <w:color w:val="333333"/>
          <w:sz w:val="22"/>
          <w:szCs w:val="22"/>
        </w:rPr>
        <w:t xml:space="preserve">L'incubateur est piloté par une équipe alliant haute compétence scientifique et expérience de terrain, parfaitement au fait des spécificités de l'écosystème entrepreneurial national et international :</w:t>
      </w:r>
    </w:p>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7.1 Structure Hiérarchique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pPr>
              <w:jc w:val="center"/>
            </w:pPr>
            <w:r>
              <w:rPr>
                <w:rFonts w:ascii="Calibri" w:cs="Calibri" w:eastAsia="Calibri" w:hAnsi="Calibri"/>
                <w:color w:val="AAAAAA"/>
                <w:sz w:val="20"/>
                <w:szCs w:val="20"/>
              </w:rPr>
              <w:t xml:space="preserve"/>
            </w:r>
            <w:r>
              <w:rPr>
                <w:rFonts w:ascii="Calibri" w:cs="Calibri" w:eastAsia="Calibri" w:hAnsi="Calibri"/>
                <w:b/>
                <w:bCs/>
                <w:color w:val="0D3B66"/>
                <w:sz w:val="22"/>
                <w:szCs w:val="22"/>
              </w:rPr>
              <w:t xml:space="preserve">Conseil Stratégique</w:t>
            </w:r>
          </w:p>
        </w:tc>
      </w:tr>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pPr>
              <w:jc w:val="center"/>
            </w:pPr>
            <w:r>
              <w:rPr>
                <w:rFonts w:ascii="Calibri" w:cs="Calibri" w:eastAsia="Calibri" w:hAnsi="Calibri"/>
                <w:color w:val="AAAAAA"/>
                <w:sz w:val="20"/>
                <w:szCs w:val="20"/>
              </w:rPr>
              <w:t xml:space="preserve">▼  </w:t>
            </w:r>
            <w:r>
              <w:rPr>
                <w:rFonts w:ascii="Calibri" w:cs="Calibri" w:eastAsia="Calibri" w:hAnsi="Calibri"/>
                <w:b/>
                <w:bCs/>
                <w:color w:val="2E7D32"/>
                <w:sz w:val="22"/>
                <w:szCs w:val="22"/>
              </w:rPr>
              <w:t xml:space="preserve">Directeur Général — Ghezali Abdessamad</w:t>
            </w:r>
          </w:p>
        </w:tc>
      </w:tr>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pPr>
              <w:jc w:val="center"/>
            </w:pPr>
            <w:r>
              <w:rPr>
                <w:rFonts w:ascii="Calibri" w:cs="Calibri" w:eastAsia="Calibri" w:hAnsi="Calibri"/>
                <w:color w:val="AAAAAA"/>
                <w:sz w:val="20"/>
                <w:szCs w:val="20"/>
              </w:rPr>
              <w:t xml:space="preserve">▼  </w:t>
            </w:r>
            <w:r>
              <w:rPr>
                <w:rFonts w:ascii="Calibri" w:cs="Calibri" w:eastAsia="Calibri" w:hAnsi="Calibri"/>
                <w:b/>
                <w:bCs/>
                <w:color w:val="0D3B66"/>
                <w:sz w:val="22"/>
                <w:szCs w:val="22"/>
              </w:rPr>
              <w:t xml:space="preserve">Fondateur &amp; Directeur Exécutif — Abdelhamid Sghira</w:t>
            </w:r>
          </w:p>
        </w:tc>
      </w:tr>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pPr>
              <w:jc w:val="center"/>
            </w:pPr>
            <w:r>
              <w:rPr>
                <w:rFonts w:ascii="Calibri" w:cs="Calibri" w:eastAsia="Calibri" w:hAnsi="Calibri"/>
                <w:color w:val="AAAAAA"/>
                <w:sz w:val="20"/>
                <w:szCs w:val="20"/>
              </w:rPr>
              <w:t xml:space="preserve">▼  </w:t>
            </w:r>
            <w:r>
              <w:rPr>
                <w:rFonts w:ascii="Calibri" w:cs="Calibri" w:eastAsia="Calibri" w:hAnsi="Calibri"/>
                <w:b/>
                <w:bCs/>
                <w:color w:val="2E7D32"/>
                <w:sz w:val="22"/>
                <w:szCs w:val="22"/>
              </w:rPr>
              <w:t xml:space="preserve">Responsables de Programmes (AgriTech | Tourisme | Innovation Sociale | Numérique)</w:t>
            </w:r>
          </w:p>
        </w:tc>
      </w:tr>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pPr>
              <w:jc w:val="center"/>
            </w:pPr>
            <w:r>
              <w:rPr>
                <w:rFonts w:ascii="Calibri" w:cs="Calibri" w:eastAsia="Calibri" w:hAnsi="Calibri"/>
                <w:b w:val="false"/>
                <w:bCs w:val="false"/>
                <w:color w:val="555555"/>
                <w:sz w:val="22"/>
                <w:szCs w:val="22"/>
              </w:rPr>
              <w:t xml:space="preserve">Réseau d'Experts, Mentors &amp; Conseillers Techniques</w:t>
            </w:r>
          </w:p>
        </w:tc>
      </w:tr>
    </w:tbl>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7.2 Équipe Dirigeante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26"/>
        <w:gridCol w:w="4400"/>
      </w:tblGrid>
      <w:tr>
        <w:trPr>
          <w:tblHeader/>
        </w:trPr>
        <w:tc>
          <w:tcPr>
            <w:tcW w:type="dxa" w:w="2200"/>
            <w:tcBorders>
              <w:top w:val="single" w:color="CCCCCC" w:sz="1"/>
              <w:left w:val="single" w:color="CCCCCC" w:sz="1"/>
              <w:bottom w:val="single" w:color="CCCCCC" w:sz="1"/>
              <w:right w:val="single" w:color="CCCCCC" w:sz="1"/>
            </w:tcBorders>
            <w:shd w:fill="0D3B66"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Nom &amp; Prénom</w:t>
            </w:r>
          </w:p>
        </w:tc>
        <w:tc>
          <w:tcPr>
            <w:tcW w:type="dxa" w:w="2426"/>
            <w:tcBorders>
              <w:top w:val="single" w:color="CCCCCC" w:sz="1"/>
              <w:left w:val="single" w:color="CCCCCC" w:sz="1"/>
              <w:bottom w:val="single" w:color="CCCCCC" w:sz="1"/>
              <w:right w:val="single" w:color="CCCCCC" w:sz="1"/>
            </w:tcBorders>
            <w:shd w:fill="0D3B66"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Fonction</w:t>
            </w:r>
          </w:p>
        </w:tc>
        <w:tc>
          <w:tcPr>
            <w:tcW w:type="dxa" w:w="4400"/>
            <w:tcBorders>
              <w:top w:val="single" w:color="CCCCCC" w:sz="1"/>
              <w:left w:val="single" w:color="CCCCCC" w:sz="1"/>
              <w:bottom w:val="single" w:color="CCCCCC" w:sz="1"/>
              <w:right w:val="single" w:color="CCCCCC" w:sz="1"/>
            </w:tcBorders>
            <w:shd w:fill="0D3B66"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Expertise &amp; Rôle d'Accompagnement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color w:val="0D3B66"/>
                <w:sz w:val="20"/>
                <w:szCs w:val="20"/>
              </w:rPr>
              <w:t xml:space="preserve">Ghezali Abdessamad</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Directeur Général</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Expert en gestion institutionnelle, logistique et planification stratégique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D3B66"/>
                <w:sz w:val="20"/>
                <w:szCs w:val="20"/>
              </w:rPr>
              <w:t xml:space="preserve">Abdelhamid Sghira</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Fondateur &amp; Directeur Exécutif</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Ingénieur d'État en informatique &amp; IA, expert en accompagnement entrepreneurial certifié GERME/OIT, +10 ans d'expérience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color w:val="0D3B66"/>
                <w:sz w:val="20"/>
                <w:szCs w:val="20"/>
              </w:rPr>
              <w:t xml:space="preserve">(Cadre contractuel)</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Responsable Programmes d'Incubation</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Master en sciences agricoles et environnement saharien — alignement environnemental des projets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D3B66"/>
                <w:sz w:val="20"/>
                <w:szCs w:val="20"/>
              </w:rPr>
              <w:t xml:space="preserve">(Cadre contractuel)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Conseiller Financier &amp; Juridique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Spécialiste en gestion financière, fiscalité et montage de dossiers de financement bancaire et micro-crédit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color w:val="0D3B66"/>
                <w:sz w:val="20"/>
                <w:szCs w:val="20"/>
              </w:rPr>
              <w:t xml:space="preserve">(Cadre contractuel)</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Responsable Innovation &amp; FabLab</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Ingénieur spécialisé en électronique, énergies renouvelables et systèmes IoT</w:t>
            </w:r>
          </w:p>
        </w:tc>
      </w:tr>
    </w:tbl>
    <w:p>
      <w:pPr>
        <w:spacing w:after="200" w:before="200"/>
      </w:pPr>
      <w:r>
        <w:t xml:space="preserve"/>
      </w:r>
    </w:p>
    <w:p>
      <w:pPr>
        <w:pStyle w:val="Heading1"/>
        <w:spacing w:after="200" w:before="400"/>
      </w:pPr>
      <w:r>
        <w:rPr>
          <w:rFonts w:ascii="Calibri" w:cs="Calibri" w:eastAsia="Calibri" w:hAnsi="Calibri"/>
          <w:b/>
          <w:bCs/>
          <w:color w:val="0D3B66"/>
          <w:sz w:val="36"/>
          <w:szCs w:val="36"/>
        </w:rPr>
        <w:t xml:space="preserve">8. Réseau de Partenaires et Partenariats Stratégiques</w:t>
      </w:r>
    </w:p>
    <w:p>
      <w:pPr>
        <w:pBdr>
          <w:bottom w:val="single" w:color="2E7D32" w:sz="6" w:space="1"/>
        </w:pBdr>
        <w:spacing w:after="120" w:before="120"/>
      </w:pPr>
      <w:r>
        <w:t xml:space="preserve"/>
      </w:r>
    </w:p>
    <w:p>
      <w:pPr>
        <w:spacing w:after="100" w:before="100"/>
      </w:pPr>
      <w:r>
        <w:t xml:space="preserve"/>
      </w:r>
    </w:p>
    <w:p>
      <w:pPr>
        <w:spacing w:after="80" w:before="80"/>
        <w:jc w:val="both"/>
      </w:pPr>
      <w:r>
        <w:rPr>
          <w:rFonts w:ascii="Calibri" w:cs="Calibri" w:eastAsia="Calibri" w:hAnsi="Calibri"/>
          <w:b w:val="false"/>
          <w:bCs w:val="false"/>
          <w:color w:val="333333"/>
          <w:sz w:val="22"/>
          <w:szCs w:val="22"/>
        </w:rPr>
        <w:t xml:space="preserve">L'incubateur s'appuie sur un réseau de partenariats étendu pour fournir arbitrage et expertise approfondie aux porteurs de projets :</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3F2FD" w:val="clear"/>
            <w:tcMar>
              <w:top w:type="dxa" w:w="120"/>
              <w:left w:type="dxa" w:w="150"/>
              <w:bottom w:type="dxa" w:w="120"/>
              <w:right w:type="dxa" w:w="150"/>
            </w:tcMar>
          </w:tcPr>
          <w:p>
            <w:pPr>
              <w:jc w:val="center"/>
            </w:pPr>
            <w:r>
              <w:rPr>
                <w:rFonts w:ascii="Calibri" w:cs="Calibri" w:eastAsia="Calibri" w:hAnsi="Calibri"/>
                <w:b/>
                <w:bCs/>
                <w:color w:val="0D3B66"/>
                <w:sz w:val="24"/>
                <w:szCs w:val="24"/>
              </w:rPr>
              <w:t xml:space="preserve">Universités</w:t>
            </w:r>
          </w:p>
          <w:p>
            <w:pPr>
              <w:jc w:val="center"/>
            </w:pPr>
            <w:r>
              <w:rPr>
                <w:rFonts w:ascii="Calibri" w:cs="Calibri" w:eastAsia="Calibri" w:hAnsi="Calibri"/>
                <w:color w:val="555555"/>
                <w:sz w:val="18"/>
                <w:szCs w:val="18"/>
              </w:rPr>
              <w:t xml:space="preserve">Université d'Adrar</w:t>
            </w:r>
          </w:p>
        </w:tc>
        <w:tc>
          <w:tcPr>
            <w:tcW w:type="dxa" w:w="4513"/>
            <w:tcBorders>
              <w:top w:val="single" w:color="CCCCCC" w:sz="1"/>
              <w:left w:val="single" w:color="CCCCCC" w:sz="1"/>
              <w:bottom w:val="single" w:color="CCCCCC" w:sz="1"/>
              <w:right w:val="single" w:color="CCCCCC" w:sz="1"/>
            </w:tcBorders>
            <w:shd w:fill="E8F5E9" w:val="clear"/>
            <w:tcMar>
              <w:top w:type="dxa" w:w="120"/>
              <w:left w:type="dxa" w:w="150"/>
              <w:bottom w:type="dxa" w:w="120"/>
              <w:right w:type="dxa" w:w="150"/>
            </w:tcMar>
          </w:tcPr>
          <w:p>
            <w:pPr>
              <w:jc w:val="center"/>
            </w:pPr>
            <w:r>
              <w:rPr>
                <w:rFonts w:ascii="Calibri" w:cs="Calibri" w:eastAsia="Calibri" w:hAnsi="Calibri"/>
                <w:b/>
                <w:bCs/>
                <w:color w:val="0D3B66"/>
                <w:sz w:val="24"/>
                <w:szCs w:val="24"/>
              </w:rPr>
              <w:t xml:space="preserve">INRAA</w:t>
            </w:r>
          </w:p>
          <w:p>
            <w:pPr>
              <w:jc w:val="center"/>
            </w:pPr>
            <w:r>
              <w:rPr>
                <w:rFonts w:ascii="Calibri" w:cs="Calibri" w:eastAsia="Calibri" w:hAnsi="Calibri"/>
                <w:color w:val="555555"/>
                <w:sz w:val="18"/>
                <w:szCs w:val="18"/>
              </w:rPr>
              <w:t xml:space="preserve">Institut National de la Recherche Agronomique</w:t>
            </w:r>
          </w:p>
        </w:tc>
      </w:tr>
      <w:tr>
        <w:tc>
          <w:tcPr>
            <w:tcW w:type="dxa" w:w="4513"/>
            <w:tcBorders>
              <w:top w:val="single" w:color="CCCCCC" w:sz="1"/>
              <w:left w:val="single" w:color="CCCCCC" w:sz="1"/>
              <w:bottom w:val="single" w:color="CCCCCC" w:sz="1"/>
              <w:right w:val="single" w:color="CCCCCC" w:sz="1"/>
            </w:tcBorders>
            <w:shd w:fill="FFF8E1" w:val="clear"/>
            <w:tcMar>
              <w:top w:type="dxa" w:w="120"/>
              <w:left w:type="dxa" w:w="150"/>
              <w:bottom w:type="dxa" w:w="120"/>
              <w:right w:type="dxa" w:w="150"/>
            </w:tcMar>
          </w:tcPr>
          <w:p>
            <w:pPr>
              <w:jc w:val="center"/>
            </w:pPr>
            <w:r>
              <w:rPr>
                <w:rFonts w:ascii="Calibri" w:cs="Calibri" w:eastAsia="Calibri" w:hAnsi="Calibri"/>
                <w:b/>
                <w:bCs/>
                <w:color w:val="0D3B66"/>
                <w:sz w:val="24"/>
                <w:szCs w:val="24"/>
              </w:rPr>
              <w:t xml:space="preserve">ITGC</w:t>
            </w:r>
          </w:p>
          <w:p>
            <w:pPr>
              <w:jc w:val="center"/>
            </w:pPr>
            <w:r>
              <w:rPr>
                <w:rFonts w:ascii="Calibri" w:cs="Calibri" w:eastAsia="Calibri" w:hAnsi="Calibri"/>
                <w:color w:val="555555"/>
                <w:sz w:val="18"/>
                <w:szCs w:val="18"/>
              </w:rPr>
              <w:t xml:space="preserve">Institut Technique de Grandes Cultures</w:t>
            </w:r>
          </w:p>
        </w:tc>
        <w:tc>
          <w:tcPr>
            <w:tcW w:type="dxa" w:w="4513"/>
            <w:tcBorders>
              <w:top w:val="single" w:color="CCCCCC" w:sz="1"/>
              <w:left w:val="single" w:color="CCCCCC" w:sz="1"/>
              <w:bottom w:val="single" w:color="CCCCCC" w:sz="1"/>
              <w:right w:val="single" w:color="CCCCCC" w:sz="1"/>
            </w:tcBorders>
            <w:shd w:fill="E3F2FD" w:val="clear"/>
            <w:tcMar>
              <w:top w:type="dxa" w:w="120"/>
              <w:left w:type="dxa" w:w="150"/>
              <w:bottom w:type="dxa" w:w="120"/>
              <w:right w:type="dxa" w:w="150"/>
            </w:tcMar>
          </w:tcPr>
          <w:p>
            <w:pPr>
              <w:jc w:val="center"/>
            </w:pPr>
            <w:r>
              <w:rPr>
                <w:rFonts w:ascii="Calibri" w:cs="Calibri" w:eastAsia="Calibri" w:hAnsi="Calibri"/>
                <w:b/>
                <w:bCs/>
                <w:color w:val="0D3B66"/>
                <w:sz w:val="24"/>
                <w:szCs w:val="24"/>
              </w:rPr>
              <w:t xml:space="preserve">BADR</w:t>
            </w:r>
          </w:p>
          <w:p>
            <w:pPr>
              <w:jc w:val="center"/>
            </w:pPr>
            <w:r>
              <w:rPr>
                <w:rFonts w:ascii="Calibri" w:cs="Calibri" w:eastAsia="Calibri" w:hAnsi="Calibri"/>
                <w:color w:val="555555"/>
                <w:sz w:val="18"/>
                <w:szCs w:val="18"/>
              </w:rPr>
              <w:t xml:space="preserve">Banque de l'Agriculture et du Développement Rural</w:t>
            </w:r>
          </w:p>
        </w:tc>
      </w:tr>
      <w:tr>
        <w:tc>
          <w:tcPr>
            <w:tcW w:type="dxa" w:w="4513"/>
            <w:tcBorders>
              <w:top w:val="single" w:color="CCCCCC" w:sz="1"/>
              <w:left w:val="single" w:color="CCCCCC" w:sz="1"/>
              <w:bottom w:val="single" w:color="CCCCCC" w:sz="1"/>
              <w:right w:val="single" w:color="CCCCCC" w:sz="1"/>
            </w:tcBorders>
            <w:shd w:fill="E8F5E9" w:val="clear"/>
            <w:tcMar>
              <w:top w:type="dxa" w:w="120"/>
              <w:left w:type="dxa" w:w="150"/>
              <w:bottom w:type="dxa" w:w="120"/>
              <w:right w:type="dxa" w:w="150"/>
            </w:tcMar>
          </w:tcPr>
          <w:p>
            <w:pPr>
              <w:jc w:val="center"/>
            </w:pPr>
            <w:r>
              <w:rPr>
                <w:rFonts w:ascii="Calibri" w:cs="Calibri" w:eastAsia="Calibri" w:hAnsi="Calibri"/>
                <w:b/>
                <w:bCs/>
                <w:color w:val="0D3B66"/>
                <w:sz w:val="24"/>
                <w:szCs w:val="24"/>
              </w:rPr>
              <w:t xml:space="preserve">NESDA</w:t>
            </w:r>
          </w:p>
          <w:p>
            <w:pPr>
              <w:jc w:val="center"/>
            </w:pPr>
            <w:r>
              <w:rPr>
                <w:rFonts w:ascii="Calibri" w:cs="Calibri" w:eastAsia="Calibri" w:hAnsi="Calibri"/>
                <w:color w:val="555555"/>
                <w:sz w:val="18"/>
                <w:szCs w:val="18"/>
              </w:rPr>
              <w:t xml:space="preserve">Nouvelle Entreprise, Solidarité &amp; Développement en Algérie</w:t>
            </w:r>
          </w:p>
        </w:tc>
        <w:tc>
          <w:tcPr>
            <w:tcW w:type="dxa" w:w="4513"/>
            <w:tcBorders>
              <w:top w:val="single" w:color="CCCCCC" w:sz="1"/>
              <w:left w:val="single" w:color="CCCCCC" w:sz="1"/>
              <w:bottom w:val="single" w:color="CCCCCC" w:sz="1"/>
              <w:right w:val="single" w:color="CCCCCC" w:sz="1"/>
            </w:tcBorders>
            <w:shd w:fill="FFF8E1" w:val="clear"/>
            <w:tcMar>
              <w:top w:type="dxa" w:w="120"/>
              <w:left w:type="dxa" w:w="150"/>
              <w:bottom w:type="dxa" w:w="120"/>
              <w:right w:type="dxa" w:w="150"/>
            </w:tcMar>
          </w:tcPr>
          <w:p>
            <w:pPr>
              <w:jc w:val="center"/>
            </w:pPr>
            <w:r>
              <w:rPr>
                <w:rFonts w:ascii="Calibri" w:cs="Calibri" w:eastAsia="Calibri" w:hAnsi="Calibri"/>
                <w:b/>
                <w:bCs/>
                <w:color w:val="0D3B66"/>
                <w:sz w:val="24"/>
                <w:szCs w:val="24"/>
              </w:rPr>
              <w:t xml:space="preserve">ANGEM</w:t>
            </w:r>
          </w:p>
          <w:p>
            <w:pPr>
              <w:jc w:val="center"/>
            </w:pPr>
            <w:r>
              <w:rPr>
                <w:rFonts w:ascii="Calibri" w:cs="Calibri" w:eastAsia="Calibri" w:hAnsi="Calibri"/>
                <w:color w:val="555555"/>
                <w:sz w:val="18"/>
                <w:szCs w:val="18"/>
              </w:rPr>
              <w:t xml:space="preserve">Agence Nationale de Gestion du Microcrédit</w:t>
            </w:r>
          </w:p>
        </w:tc>
      </w:tr>
      <w:tr>
        <w:tc>
          <w:tcPr>
            <w:tcW w:type="dxa" w:w="4513"/>
            <w:tcBorders>
              <w:top w:val="single" w:color="CCCCCC" w:sz="1"/>
              <w:left w:val="single" w:color="CCCCCC" w:sz="1"/>
              <w:bottom w:val="single" w:color="CCCCCC" w:sz="1"/>
              <w:right w:val="single" w:color="CCCCCC" w:sz="1"/>
            </w:tcBorders>
            <w:shd w:fill="E3F2FD" w:val="clear"/>
            <w:tcMar>
              <w:top w:type="dxa" w:w="120"/>
              <w:left w:type="dxa" w:w="150"/>
              <w:bottom w:type="dxa" w:w="120"/>
              <w:right w:type="dxa" w:w="150"/>
            </w:tcMar>
          </w:tcPr>
          <w:p>
            <w:pPr>
              <w:jc w:val="center"/>
            </w:pPr>
            <w:r>
              <w:rPr>
                <w:rFonts w:ascii="Calibri" w:cs="Calibri" w:eastAsia="Calibri" w:hAnsi="Calibri"/>
                <w:b/>
                <w:bCs/>
                <w:color w:val="0D3B66"/>
                <w:sz w:val="24"/>
                <w:szCs w:val="24"/>
              </w:rPr>
              <w:t xml:space="preserve">UNDP Algérie</w:t>
            </w:r>
          </w:p>
          <w:p>
            <w:pPr>
              <w:jc w:val="center"/>
            </w:pPr>
            <w:r>
              <w:rPr>
                <w:rFonts w:ascii="Calibri" w:cs="Calibri" w:eastAsia="Calibri" w:hAnsi="Calibri"/>
                <w:color w:val="555555"/>
                <w:sz w:val="18"/>
                <w:szCs w:val="18"/>
              </w:rPr>
              <w:t xml:space="preserve">Programme des Nations Unies pour le Développement</w:t>
            </w:r>
          </w:p>
        </w:tc>
        <w:tc>
          <w:tcPr>
            <w:tcW w:type="dxa" w:w="4513"/>
            <w:tcBorders>
              <w:top w:val="single" w:color="CCCCCC" w:sz="1"/>
              <w:left w:val="single" w:color="CCCCCC" w:sz="1"/>
              <w:bottom w:val="single" w:color="CCCCCC" w:sz="1"/>
              <w:right w:val="single" w:color="CCCCCC" w:sz="1"/>
            </w:tcBorders>
            <w:shd w:fill="E8F5E9" w:val="clear"/>
            <w:tcMar>
              <w:top w:type="dxa" w:w="120"/>
              <w:left w:type="dxa" w:w="150"/>
              <w:bottom w:type="dxa" w:w="120"/>
              <w:right w:type="dxa" w:w="150"/>
            </w:tcMar>
          </w:tcPr>
          <w:p>
            <w:pPr>
              <w:jc w:val="center"/>
            </w:pPr>
            <w:r>
              <w:rPr>
                <w:rFonts w:ascii="Calibri" w:cs="Calibri" w:eastAsia="Calibri" w:hAnsi="Calibri"/>
                <w:b/>
                <w:bCs/>
                <w:color w:val="0D3B66"/>
                <w:sz w:val="24"/>
                <w:szCs w:val="24"/>
              </w:rPr>
              <w:t xml:space="preserve">Ministères</w:t>
            </w:r>
          </w:p>
          <w:p>
            <w:pPr>
              <w:jc w:val="center"/>
            </w:pPr>
            <w:r>
              <w:rPr>
                <w:rFonts w:ascii="Calibri" w:cs="Calibri" w:eastAsia="Calibri" w:hAnsi="Calibri"/>
                <w:color w:val="555555"/>
                <w:sz w:val="18"/>
                <w:szCs w:val="18"/>
              </w:rPr>
              <w:t xml:space="preserve">Économie de la Connaissance, Agriculture, Environnement</w:t>
            </w:r>
          </w:p>
        </w:tc>
      </w:tr>
    </w:tbl>
    <w:p>
      <w:pPr>
        <w:spacing w:after="100" w:before="100"/>
      </w:pPr>
      <w:r>
        <w:t xml:space="preserve"/>
      </w:r>
    </w:p>
    <w:p>
      <w:pPr>
        <w:spacing w:after="80" w:before="80"/>
        <w:jc w:val="both"/>
      </w:pPr>
      <w:r>
        <w:rPr>
          <w:rFonts w:ascii="Calibri" w:cs="Calibri" w:eastAsia="Calibri" w:hAnsi="Calibri"/>
          <w:b w:val="false"/>
          <w:bCs w:val="false"/>
          <w:color w:val="333333"/>
          <w:sz w:val="22"/>
          <w:szCs w:val="22"/>
        </w:rPr>
        <w:t xml:space="preserve">Ce réseau de partenaires institutionnels couvre l'ensemble des besoins des start-ups incubées : validation scientifique des projets, accès au financement, conseil juridique, soutien universitaire et accompagnement à l'internationalisation.</w:t>
      </w:r>
    </w:p>
    <w:p>
      <w:pPr>
        <w:spacing w:after="200" w:before="200"/>
      </w:pPr>
      <w:r>
        <w:t xml:space="preserve"/>
      </w:r>
    </w:p>
    <w:p>
      <w:pPr>
        <w:pStyle w:val="Heading1"/>
        <w:spacing w:after="200" w:before="400"/>
      </w:pPr>
      <w:r>
        <w:rPr>
          <w:rFonts w:ascii="Calibri" w:cs="Calibri" w:eastAsia="Calibri" w:hAnsi="Calibri"/>
          <w:b/>
          <w:bCs/>
          <w:color w:val="0D3B66"/>
          <w:sz w:val="36"/>
          <w:szCs w:val="36"/>
        </w:rPr>
        <w:t xml:space="preserve">9. Indicateurs d'Impact et Tableau de Bord KPI</w:t>
      </w:r>
    </w:p>
    <w:p>
      <w:pPr>
        <w:pBdr>
          <w:bottom w:val="single" w:color="2E7D32" w:sz="6" w:space="1"/>
        </w:pBdr>
        <w:spacing w:after="120" w:before="120"/>
      </w:pPr>
      <w:r>
        <w:t xml:space="preserve"/>
      </w:r>
    </w:p>
    <w:p>
      <w:pPr>
        <w:spacing w:after="100" w:before="100"/>
      </w:pPr>
      <w:r>
        <w:t xml:space="preserve"/>
      </w:r>
    </w:p>
    <w:p>
      <w:pPr>
        <w:spacing w:after="80" w:before="80"/>
        <w:jc w:val="both"/>
      </w:pPr>
      <w:r>
        <w:rPr>
          <w:rFonts w:ascii="Calibri" w:cs="Calibri" w:eastAsia="Calibri" w:hAnsi="Calibri"/>
          <w:b w:val="false"/>
          <w:bCs w:val="false"/>
          <w:color w:val="333333"/>
          <w:sz w:val="22"/>
          <w:szCs w:val="22"/>
        </w:rPr>
        <w:t xml:space="preserve">Les chiffres de bilan opérationnel et de capacité d'expansion de l'incubateur sont alignés avec les cibles majeures du programme GGJAP visant à soutenir 800 entreprises vertes d'ici 2027 :</w:t>
      </w:r>
    </w:p>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9.1 Tableau de Bord — Indicateurs Clés de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2006"/>
        <w:gridCol w:w="2005"/>
      </w:tblGrid>
      <w:tr>
        <w:tc>
          <w:tcPr>
            <w:tcW w:type="dxa" w:w="3009"/>
            <w:tcBorders>
              <w:top w:val="single" w:color="CCCCCC" w:sz="1"/>
              <w:left w:val="single" w:color="CCCCCC" w:sz="1"/>
              <w:bottom w:val="single" w:color="CCCCCC" w:sz="1"/>
              <w:right w:val="single" w:color="CCCCCC" w:sz="1"/>
            </w:tcBorders>
            <w:shd w:fill="0D3B66"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Indicateur</w:t>
            </w:r>
          </w:p>
        </w:tc>
        <w:tc>
          <w:tcPr>
            <w:tcW w:type="dxa" w:w="2006"/>
            <w:tcBorders>
              <w:top w:val="single" w:color="CCCCCC" w:sz="1"/>
              <w:left w:val="single" w:color="CCCCCC" w:sz="1"/>
              <w:bottom w:val="single" w:color="CCCCCC" w:sz="1"/>
              <w:right w:val="single" w:color="CCCCCC" w:sz="1"/>
            </w:tcBorders>
            <w:shd w:fill="0D3B66"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2025 (Réalisé)</w:t>
            </w:r>
          </w:p>
        </w:tc>
        <w:tc>
          <w:tcPr>
            <w:tcW w:type="dxa" w:w="2006"/>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2026 (Cible)</w:t>
            </w:r>
          </w:p>
        </w:tc>
        <w:tc>
          <w:tcPr>
            <w:tcW w:type="dxa" w:w="2005"/>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2027 (Objectif)</w:t>
            </w:r>
          </w:p>
        </w:tc>
      </w:tr>
      <w:tr>
        <w:tc>
          <w:tcPr>
            <w:tcW w:type="dxa" w:w="3009"/>
            <w:tcBorders>
              <w:top w:val="single" w:color="CCCCCC" w:sz="1"/>
              <w:left w:val="single" w:color="CCCCCC" w:sz="1"/>
              <w:bottom w:val="single" w:color="CCCCCC" w:sz="1"/>
              <w:right w:val="single" w:color="CCCCCC" w:sz="1"/>
            </w:tcBorders>
            <w:shd w:fill="E3F2FD" w:val="clear"/>
            <w:tcMar>
              <w:top w:type="dxa" w:w="120"/>
              <w:left w:type="dxa" w:w="120"/>
              <w:bottom w:type="dxa" w:w="120"/>
              <w:right w:type="dxa" w:w="120"/>
            </w:tcMar>
          </w:tcPr>
          <w:p>
            <w:r>
              <w:rPr>
                <w:rFonts w:ascii="Calibri" w:cs="Calibri" w:eastAsia="Calibri" w:hAnsi="Calibri"/>
                <w:b/>
                <w:bCs/>
                <w:color w:val="0D3B66"/>
                <w:sz w:val="22"/>
                <w:szCs w:val="22"/>
              </w:rPr>
              <w:t xml:space="preserve">Projets Incubés</w:t>
            </w:r>
          </w:p>
        </w:tc>
        <w:tc>
          <w:tcPr>
            <w:tcW w:type="dxa" w:w="2006"/>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center"/>
            </w:pPr>
            <w:r>
              <w:rPr>
                <w:rFonts w:ascii="Calibri" w:cs="Calibri" w:eastAsia="Calibri" w:hAnsi="Calibri"/>
                <w:b/>
                <w:bCs/>
                <w:color w:val="555555"/>
                <w:sz w:val="36"/>
                <w:szCs w:val="36"/>
              </w:rPr>
              <w:t xml:space="preserve">6</w:t>
            </w:r>
          </w:p>
        </w:tc>
        <w:tc>
          <w:tcPr>
            <w:tcW w:type="dxa" w:w="2006"/>
            <w:tcBorders>
              <w:top w:val="single" w:color="CCCCCC" w:sz="1"/>
              <w:left w:val="single" w:color="CCCCCC" w:sz="1"/>
              <w:bottom w:val="single" w:color="CCCCCC" w:sz="1"/>
              <w:right w:val="single" w:color="CCCCCC" w:sz="1"/>
            </w:tcBorders>
            <w:shd w:fill="E8F5E9" w:val="clear"/>
            <w:tcMar>
              <w:top w:type="dxa" w:w="120"/>
              <w:left w:type="dxa" w:w="120"/>
              <w:bottom w:type="dxa" w:w="120"/>
              <w:right w:type="dxa" w:w="120"/>
            </w:tcMar>
          </w:tcPr>
          <w:p>
            <w:pPr>
              <w:jc w:val="center"/>
            </w:pPr>
            <w:r>
              <w:rPr>
                <w:rFonts w:ascii="Calibri" w:cs="Calibri" w:eastAsia="Calibri" w:hAnsi="Calibri"/>
                <w:b/>
                <w:bCs/>
                <w:color w:val="2E7D32"/>
                <w:sz w:val="36"/>
                <w:szCs w:val="36"/>
              </w:rPr>
              <w:t xml:space="preserve">25</w:t>
            </w:r>
          </w:p>
        </w:tc>
        <w:tc>
          <w:tcPr>
            <w:tcW w:type="dxa" w:w="2005"/>
            <w:tcBorders>
              <w:top w:val="single" w:color="CCCCCC" w:sz="1"/>
              <w:left w:val="single" w:color="CCCCCC" w:sz="1"/>
              <w:bottom w:val="single" w:color="CCCCCC" w:sz="1"/>
              <w:right w:val="single" w:color="CCCCCC" w:sz="1"/>
            </w:tcBorders>
            <w:shd w:fill="E8F5E9" w:val="clear"/>
            <w:tcMar>
              <w:top w:type="dxa" w:w="120"/>
              <w:left w:type="dxa" w:w="120"/>
              <w:bottom w:type="dxa" w:w="120"/>
              <w:right w:type="dxa" w:w="120"/>
            </w:tcMar>
          </w:tcPr>
          <w:p>
            <w:pPr>
              <w:jc w:val="center"/>
            </w:pPr>
            <w:r>
              <w:rPr>
                <w:rFonts w:ascii="Calibri" w:cs="Calibri" w:eastAsia="Calibri" w:hAnsi="Calibri"/>
                <w:b/>
                <w:bCs/>
                <w:color w:val="0D3B66"/>
                <w:sz w:val="48"/>
                <w:szCs w:val="48"/>
              </w:rPr>
              <w:t xml:space="preserve">45</w:t>
            </w:r>
          </w:p>
        </w:tc>
      </w:tr>
      <w:tr>
        <w:tc>
          <w:tcPr>
            <w:tcW w:type="dxa" w:w="3009"/>
            <w:tcBorders>
              <w:top w:val="single" w:color="CCCCCC" w:sz="1"/>
              <w:left w:val="single" w:color="CCCCCC" w:sz="1"/>
              <w:bottom w:val="single" w:color="CCCCCC" w:sz="1"/>
              <w:right w:val="single" w:color="CCCCCC" w:sz="1"/>
            </w:tcBorders>
            <w:shd w:fill="E8F5E9" w:val="clear"/>
            <w:tcMar>
              <w:top w:type="dxa" w:w="120"/>
              <w:left w:type="dxa" w:w="120"/>
              <w:bottom w:type="dxa" w:w="120"/>
              <w:right w:type="dxa" w:w="120"/>
            </w:tcMar>
          </w:tcPr>
          <w:p>
            <w:r>
              <w:rPr>
                <w:rFonts w:ascii="Calibri" w:cs="Calibri" w:eastAsia="Calibri" w:hAnsi="Calibri"/>
                <w:b/>
                <w:bCs/>
                <w:color w:val="0D3B66"/>
                <w:sz w:val="22"/>
                <w:szCs w:val="22"/>
              </w:rPr>
              <w:t xml:space="preserve">Emplois Créés</w:t>
            </w:r>
          </w:p>
        </w:tc>
        <w:tc>
          <w:tcPr>
            <w:tcW w:type="dxa" w:w="2006"/>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center"/>
            </w:pPr>
            <w:r>
              <w:rPr>
                <w:rFonts w:ascii="Calibri" w:cs="Calibri" w:eastAsia="Calibri" w:hAnsi="Calibri"/>
                <w:b/>
                <w:bCs/>
                <w:color w:val="555555"/>
                <w:sz w:val="36"/>
                <w:szCs w:val="36"/>
              </w:rPr>
              <w:t xml:space="preserve">4</w:t>
            </w:r>
          </w:p>
        </w:tc>
        <w:tc>
          <w:tcPr>
            <w:tcW w:type="dxa" w:w="2006"/>
            <w:tcBorders>
              <w:top w:val="single" w:color="CCCCCC" w:sz="1"/>
              <w:left w:val="single" w:color="CCCCCC" w:sz="1"/>
              <w:bottom w:val="single" w:color="CCCCCC" w:sz="1"/>
              <w:right w:val="single" w:color="CCCCCC" w:sz="1"/>
            </w:tcBorders>
            <w:shd w:fill="E8F5E9" w:val="clear"/>
            <w:tcMar>
              <w:top w:type="dxa" w:w="120"/>
              <w:left w:type="dxa" w:w="120"/>
              <w:bottom w:type="dxa" w:w="120"/>
              <w:right w:type="dxa" w:w="120"/>
            </w:tcMar>
          </w:tcPr>
          <w:p>
            <w:pPr>
              <w:jc w:val="center"/>
            </w:pPr>
            <w:r>
              <w:rPr>
                <w:rFonts w:ascii="Calibri" w:cs="Calibri" w:eastAsia="Calibri" w:hAnsi="Calibri"/>
                <w:b/>
                <w:bCs/>
                <w:color w:val="2E7D32"/>
                <w:sz w:val="36"/>
                <w:szCs w:val="36"/>
              </w:rPr>
              <w:t xml:space="preserve">35</w:t>
            </w:r>
          </w:p>
        </w:tc>
        <w:tc>
          <w:tcPr>
            <w:tcW w:type="dxa" w:w="2005"/>
            <w:tcBorders>
              <w:top w:val="single" w:color="CCCCCC" w:sz="1"/>
              <w:left w:val="single" w:color="CCCCCC" w:sz="1"/>
              <w:bottom w:val="single" w:color="CCCCCC" w:sz="1"/>
              <w:right w:val="single" w:color="CCCCCC" w:sz="1"/>
            </w:tcBorders>
            <w:shd w:fill="E8F5E9" w:val="clear"/>
            <w:tcMar>
              <w:top w:type="dxa" w:w="120"/>
              <w:left w:type="dxa" w:w="120"/>
              <w:bottom w:type="dxa" w:w="120"/>
              <w:right w:type="dxa" w:w="120"/>
            </w:tcMar>
          </w:tcPr>
          <w:p>
            <w:pPr>
              <w:jc w:val="center"/>
            </w:pPr>
            <w:r>
              <w:rPr>
                <w:rFonts w:ascii="Calibri" w:cs="Calibri" w:eastAsia="Calibri" w:hAnsi="Calibri"/>
                <w:b/>
                <w:bCs/>
                <w:color w:val="0D3B66"/>
                <w:sz w:val="48"/>
                <w:szCs w:val="48"/>
              </w:rPr>
              <w:t xml:space="preserve">75</w:t>
            </w:r>
          </w:p>
        </w:tc>
      </w:tr>
      <w:tr>
        <w:tc>
          <w:tcPr>
            <w:tcW w:type="dxa" w:w="3009"/>
            <w:tcBorders>
              <w:top w:val="single" w:color="CCCCCC" w:sz="1"/>
              <w:left w:val="single" w:color="CCCCCC" w:sz="1"/>
              <w:bottom w:val="single" w:color="CCCCCC" w:sz="1"/>
              <w:right w:val="single" w:color="CCCCCC" w:sz="1"/>
            </w:tcBorders>
            <w:shd w:fill="E3F2FD" w:val="clear"/>
            <w:tcMar>
              <w:top w:type="dxa" w:w="120"/>
              <w:left w:type="dxa" w:w="120"/>
              <w:bottom w:type="dxa" w:w="120"/>
              <w:right w:type="dxa" w:w="120"/>
            </w:tcMar>
          </w:tcPr>
          <w:p>
            <w:r>
              <w:rPr>
                <w:rFonts w:ascii="Calibri" w:cs="Calibri" w:eastAsia="Calibri" w:hAnsi="Calibri"/>
                <w:b/>
                <w:bCs/>
                <w:color w:val="0D3B66"/>
                <w:sz w:val="22"/>
                <w:szCs w:val="22"/>
              </w:rPr>
              <w:t xml:space="preserve">Femmes Entrepreneurs</w:t>
            </w:r>
          </w:p>
        </w:tc>
        <w:tc>
          <w:tcPr>
            <w:tcW w:type="dxa" w:w="2006"/>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center"/>
            </w:pPr>
            <w:r>
              <w:rPr>
                <w:rFonts w:ascii="Calibri" w:cs="Calibri" w:eastAsia="Calibri" w:hAnsi="Calibri"/>
                <w:b/>
                <w:bCs/>
                <w:color w:val="555555"/>
                <w:sz w:val="36"/>
                <w:szCs w:val="36"/>
              </w:rPr>
              <w:t xml:space="preserve">4</w:t>
            </w:r>
          </w:p>
        </w:tc>
        <w:tc>
          <w:tcPr>
            <w:tcW w:type="dxa" w:w="2006"/>
            <w:tcBorders>
              <w:top w:val="single" w:color="CCCCCC" w:sz="1"/>
              <w:left w:val="single" w:color="CCCCCC" w:sz="1"/>
              <w:bottom w:val="single" w:color="CCCCCC" w:sz="1"/>
              <w:right w:val="single" w:color="CCCCCC" w:sz="1"/>
            </w:tcBorders>
            <w:shd w:fill="E8F5E9" w:val="clear"/>
            <w:tcMar>
              <w:top w:type="dxa" w:w="120"/>
              <w:left w:type="dxa" w:w="120"/>
              <w:bottom w:type="dxa" w:w="120"/>
              <w:right w:type="dxa" w:w="120"/>
            </w:tcMar>
          </w:tcPr>
          <w:p>
            <w:pPr>
              <w:jc w:val="center"/>
            </w:pPr>
            <w:r>
              <w:rPr>
                <w:rFonts w:ascii="Calibri" w:cs="Calibri" w:eastAsia="Calibri" w:hAnsi="Calibri"/>
                <w:b/>
                <w:bCs/>
                <w:color w:val="2E7D32"/>
                <w:sz w:val="36"/>
                <w:szCs w:val="36"/>
              </w:rPr>
              <w:t xml:space="preserve">12</w:t>
            </w:r>
          </w:p>
        </w:tc>
        <w:tc>
          <w:tcPr>
            <w:tcW w:type="dxa" w:w="2005"/>
            <w:tcBorders>
              <w:top w:val="single" w:color="CCCCCC" w:sz="1"/>
              <w:left w:val="single" w:color="CCCCCC" w:sz="1"/>
              <w:bottom w:val="single" w:color="CCCCCC" w:sz="1"/>
              <w:right w:val="single" w:color="CCCCCC" w:sz="1"/>
            </w:tcBorders>
            <w:shd w:fill="E8F5E9" w:val="clear"/>
            <w:tcMar>
              <w:top w:type="dxa" w:w="120"/>
              <w:left w:type="dxa" w:w="120"/>
              <w:bottom w:type="dxa" w:w="120"/>
              <w:right w:type="dxa" w:w="120"/>
            </w:tcMar>
          </w:tcPr>
          <w:p>
            <w:pPr>
              <w:jc w:val="center"/>
            </w:pPr>
            <w:r>
              <w:rPr>
                <w:rFonts w:ascii="Calibri" w:cs="Calibri" w:eastAsia="Calibri" w:hAnsi="Calibri"/>
                <w:b/>
                <w:bCs/>
                <w:color w:val="0D3B66"/>
                <w:sz w:val="48"/>
                <w:szCs w:val="48"/>
              </w:rPr>
              <w:t xml:space="preserve">25</w:t>
            </w:r>
          </w:p>
        </w:tc>
      </w:tr>
    </w:tbl>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9.2 Indicateurs Détaillés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1840"/>
        <w:gridCol w:w="2340"/>
        <w:gridCol w:w="2340"/>
      </w:tblGrid>
      <w:tr>
        <w:trPr>
          <w:tblHeader/>
        </w:trPr>
        <w:tc>
          <w:tcPr>
            <w:tcW w:type="dxa" w:w="2506"/>
            <w:tcBorders>
              <w:top w:val="single" w:color="CCCCCC" w:sz="1"/>
              <w:left w:val="single" w:color="CCCCCC" w:sz="1"/>
              <w:bottom w:val="single" w:color="CCCCCC" w:sz="1"/>
              <w:right w:val="single" w:color="CCCCCC" w:sz="1"/>
            </w:tcBorders>
            <w:shd w:fill="0D3B6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Indicateur d'Impact</w:t>
            </w:r>
          </w:p>
        </w:tc>
        <w:tc>
          <w:tcPr>
            <w:tcW w:type="dxa" w:w="184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Réalisé 2024–2025</w:t>
            </w:r>
          </w:p>
        </w:tc>
        <w:tc>
          <w:tcPr>
            <w:tcW w:type="dxa" w:w="234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Cible 2026 (GGJAP)</w:t>
            </w:r>
          </w:p>
        </w:tc>
        <w:tc>
          <w:tcPr>
            <w:tcW w:type="dxa" w:w="234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Cible 2027</w:t>
            </w:r>
          </w:p>
        </w:tc>
      </w:tr>
      <w:tr>
        <w:tc>
          <w:tcPr>
            <w:tcW w:type="dxa" w:w="2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alibri" w:cs="Calibri" w:eastAsia="Calibri" w:hAnsi="Calibri"/>
                <w:b/>
                <w:bCs/>
                <w:color w:val="0D3B66"/>
                <w:sz w:val="20"/>
                <w:szCs w:val="20"/>
              </w:rPr>
              <w:t xml:space="preserve">Total candidatures reçues</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333333"/>
                <w:sz w:val="20"/>
                <w:szCs w:val="20"/>
              </w:rPr>
              <w:t xml:space="preserve">15 candidatures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333333"/>
                <w:sz w:val="20"/>
                <w:szCs w:val="20"/>
              </w:rPr>
              <w:t xml:space="preserve">45 candidatures régionales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2E7D32"/>
                <w:sz w:val="20"/>
                <w:szCs w:val="20"/>
              </w:rPr>
              <w:t xml:space="preserve">80 candidatures régionales</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D3B66"/>
                <w:sz w:val="20"/>
                <w:szCs w:val="20"/>
              </w:rPr>
              <w:t xml:space="preserve">Projets sélectionnés &amp; incubés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33333"/>
                <w:sz w:val="20"/>
                <w:szCs w:val="20"/>
              </w:rPr>
              <w:t xml:space="preserve">6 projets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33333"/>
                <w:sz w:val="20"/>
                <w:szCs w:val="20"/>
              </w:rPr>
              <w:t xml:space="preserve">25 projets verts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D32"/>
                <w:sz w:val="20"/>
                <w:szCs w:val="20"/>
              </w:rPr>
              <w:t xml:space="preserve">45 projets verts</w:t>
            </w:r>
          </w:p>
        </w:tc>
      </w:tr>
      <w:tr>
        <w:tc>
          <w:tcPr>
            <w:tcW w:type="dxa" w:w="2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alibri" w:cs="Calibri" w:eastAsia="Calibri" w:hAnsi="Calibri"/>
                <w:b/>
                <w:bCs/>
                <w:color w:val="0D3B66"/>
                <w:sz w:val="20"/>
                <w:szCs w:val="20"/>
              </w:rPr>
              <w:t xml:space="preserve">Entreprises créées légalement</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333333"/>
                <w:sz w:val="20"/>
                <w:szCs w:val="20"/>
              </w:rPr>
              <w:t xml:space="preserve">2 entreprises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333333"/>
                <w:sz w:val="20"/>
                <w:szCs w:val="20"/>
              </w:rPr>
              <w:t xml:space="preserve">15 start-ups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2E7D32"/>
                <w:sz w:val="20"/>
                <w:szCs w:val="20"/>
              </w:rPr>
              <w:t xml:space="preserve">30 start-ups</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D3B66"/>
                <w:sz w:val="20"/>
                <w:szCs w:val="20"/>
              </w:rPr>
              <w:t xml:space="preserve">Prototypes MVP développés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33333"/>
                <w:sz w:val="20"/>
                <w:szCs w:val="20"/>
              </w:rPr>
              <w:t xml:space="preserve">2 prototypes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33333"/>
                <w:sz w:val="20"/>
                <w:szCs w:val="20"/>
              </w:rPr>
              <w:t xml:space="preserve">12 prototypes verts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D32"/>
                <w:sz w:val="20"/>
                <w:szCs w:val="20"/>
              </w:rPr>
              <w:t xml:space="preserve">25 prototypes verts</w:t>
            </w:r>
          </w:p>
        </w:tc>
      </w:tr>
      <w:tr>
        <w:tc>
          <w:tcPr>
            <w:tcW w:type="dxa" w:w="2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alibri" w:cs="Calibri" w:eastAsia="Calibri" w:hAnsi="Calibri"/>
                <w:b/>
                <w:bCs/>
                <w:color w:val="0D3B66"/>
                <w:sz w:val="20"/>
                <w:szCs w:val="20"/>
              </w:rPr>
              <w:t xml:space="preserve">Emplois directs créés</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333333"/>
                <w:sz w:val="20"/>
                <w:szCs w:val="20"/>
              </w:rPr>
              <w:t xml:space="preserve">4 emplois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333333"/>
                <w:sz w:val="20"/>
                <w:szCs w:val="20"/>
              </w:rPr>
              <w:t xml:space="preserve">35 emplois stables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2E7D32"/>
                <w:sz w:val="20"/>
                <w:szCs w:val="20"/>
              </w:rPr>
              <w:t xml:space="preserve">75 emplois stables</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D3B66"/>
                <w:sz w:val="20"/>
                <w:szCs w:val="20"/>
              </w:rPr>
              <w:t xml:space="preserve">Femmes entrepreneures intégrées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33333"/>
                <w:sz w:val="20"/>
                <w:szCs w:val="20"/>
              </w:rPr>
              <w:t xml:space="preserve">4 femmes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333333"/>
                <w:sz w:val="20"/>
                <w:szCs w:val="20"/>
              </w:rPr>
              <w:t xml:space="preserve">12 femmes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D32"/>
                <w:sz w:val="20"/>
                <w:szCs w:val="20"/>
              </w:rPr>
              <w:t xml:space="preserve">25 femmes</w:t>
            </w:r>
          </w:p>
        </w:tc>
      </w:tr>
      <w:tr>
        <w:tc>
          <w:tcPr>
            <w:tcW w:type="dxa" w:w="2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alibri" w:cs="Calibri" w:eastAsia="Calibri" w:hAnsi="Calibri"/>
                <w:b/>
                <w:bCs/>
                <w:color w:val="0D3B66"/>
                <w:sz w:val="20"/>
                <w:szCs w:val="20"/>
              </w:rPr>
              <w:t xml:space="preserve">Jeunes entrepreneurs (&lt;35 ans)</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333333"/>
                <w:sz w:val="20"/>
                <w:szCs w:val="20"/>
              </w:rPr>
              <w:t xml:space="preserve">2 jeunes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333333"/>
                <w:sz w:val="20"/>
                <w:szCs w:val="20"/>
              </w:rPr>
              <w:t xml:space="preserve">18 jeunes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Calibri" w:cs="Calibri" w:eastAsia="Calibri" w:hAnsi="Calibri"/>
                <w:b w:val="false"/>
                <w:bCs w:val="false"/>
                <w:color w:val="2E7D32"/>
                <w:sz w:val="20"/>
                <w:szCs w:val="20"/>
              </w:rPr>
              <w:t xml:space="preserve">35 jeunes</w:t>
            </w:r>
          </w:p>
        </w:tc>
      </w:tr>
    </w:tbl>
    <w:p>
      <w:pPr>
        <w:spacing w:after="200" w:before="200"/>
      </w:pPr>
      <w:r>
        <w:t xml:space="preserve"/>
      </w:r>
    </w:p>
    <w:p>
      <w:pPr>
        <w:pStyle w:val="Heading1"/>
        <w:spacing w:after="200" w:before="400"/>
      </w:pPr>
      <w:r>
        <w:rPr>
          <w:rFonts w:ascii="Calibri" w:cs="Calibri" w:eastAsia="Calibri" w:hAnsi="Calibri"/>
          <w:b/>
          <w:bCs/>
          <w:color w:val="0D3B66"/>
          <w:sz w:val="36"/>
          <w:szCs w:val="36"/>
        </w:rPr>
        <w:t xml:space="preserve">10. Alignement avec le Programme GGJAP et Contribution aux ODD</w:t>
      </w:r>
    </w:p>
    <w:p>
      <w:pPr>
        <w:pBdr>
          <w:bottom w:val="single" w:color="2E7D32" w:sz="6" w:space="1"/>
        </w:pBdr>
        <w:spacing w:after="120" w:before="120"/>
      </w:pPr>
      <w:r>
        <w:t xml:space="preserve"/>
      </w:r>
    </w:p>
    <w:p>
      <w:pPr>
        <w:spacing w:after="100" w:before="100"/>
      </w:pPr>
      <w:r>
        <w:t xml:space="preserve"/>
      </w:r>
    </w:p>
    <w:p>
      <w:pPr>
        <w:spacing w:after="80" w:before="80"/>
        <w:jc w:val="both"/>
      </w:pPr>
      <w:r>
        <w:rPr>
          <w:rFonts w:ascii="Calibri" w:cs="Calibri" w:eastAsia="Calibri" w:hAnsi="Calibri"/>
          <w:b w:val="false"/>
          <w:bCs w:val="false"/>
          <w:color w:val="333333"/>
          <w:sz w:val="22"/>
          <w:szCs w:val="22"/>
        </w:rPr>
        <w:t xml:space="preserve">Le modèle opérationnel d'Oasis Tech Incubator constitue l'incarnation terrain idéale du programme GGJAP selon trois facteurs décisifs :</w:t>
      </w:r>
    </w:p>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10.1 Matrice d'Alignement GGJAP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rPr>
          <w:tblHeader/>
        </w:trPr>
        <w:tc>
          <w:tcPr>
            <w:tcW w:type="dxa" w:w="4013"/>
            <w:tcBorders>
              <w:top w:val="single" w:color="CCCCCC" w:sz="1"/>
              <w:left w:val="single" w:color="CCCCCC" w:sz="1"/>
              <w:bottom w:val="single" w:color="CCCCCC" w:sz="1"/>
              <w:right w:val="single" w:color="CCCCCC" w:sz="1"/>
            </w:tcBorders>
            <w:shd w:fill="0D3B66"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Critère GGJAP</w:t>
            </w:r>
          </w:p>
        </w:tc>
        <w:tc>
          <w:tcPr>
            <w:tcW w:type="dxa" w:w="5013"/>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Réponse Oasis Tech Incubator</w:t>
            </w:r>
          </w:p>
        </w:tc>
      </w:tr>
      <w:tr>
        <w:tc>
          <w:tcPr>
            <w:tcW w:type="dxa" w:w="4013"/>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alibri" w:cs="Calibri" w:eastAsia="Calibri" w:hAnsi="Calibri"/>
                <w:b/>
                <w:bCs/>
                <w:color w:val="0D3B66"/>
                <w:sz w:val="20"/>
                <w:szCs w:val="20"/>
              </w:rPr>
              <w:t xml:space="preserve">Ancrage territorial dans les zones non desservies</w:t>
            </w:r>
          </w:p>
        </w:tc>
        <w:tc>
          <w:tcPr>
            <w:tcW w:type="dxa" w:w="50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color w:val="333333"/>
                <w:sz w:val="20"/>
                <w:szCs w:val="20"/>
              </w:rPr>
              <w:t xml:space="preserve">✔ Présence active dans 5 wilayas du Grand Sud algérien</w:t>
            </w:r>
          </w:p>
        </w:tc>
      </w:tr>
      <w:tr>
        <w:tc>
          <w:tcPr>
            <w:tcW w:type="dxa" w:w="4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D3B66"/>
                <w:sz w:val="20"/>
                <w:szCs w:val="20"/>
              </w:rPr>
              <w:t xml:space="preserve">Focalisation sur l'économie verte et durable</w:t>
            </w:r>
          </w:p>
        </w:tc>
        <w:tc>
          <w:tcPr>
            <w:tcW w:type="dxa" w:w="5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 100% des projets ciblés : AgriTech, CleanTech, Tourisme durable</w:t>
            </w:r>
          </w:p>
        </w:tc>
      </w:tr>
      <w:tr>
        <w:tc>
          <w:tcPr>
            <w:tcW w:type="dxa" w:w="4013"/>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alibri" w:cs="Calibri" w:eastAsia="Calibri" w:hAnsi="Calibri"/>
                <w:b/>
                <w:bCs/>
                <w:color w:val="0D3B66"/>
                <w:sz w:val="20"/>
                <w:szCs w:val="20"/>
              </w:rPr>
              <w:t xml:space="preserve">Intensité emploi et création de valeur locale</w:t>
            </w:r>
          </w:p>
        </w:tc>
        <w:tc>
          <w:tcPr>
            <w:tcW w:type="dxa" w:w="50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color w:val="333333"/>
                <w:sz w:val="20"/>
                <w:szCs w:val="20"/>
              </w:rPr>
              <w:t xml:space="preserve">✔ Cible 2027 : 75 emplois stables, 30 entreprises créées</w:t>
            </w:r>
          </w:p>
        </w:tc>
      </w:tr>
      <w:tr>
        <w:tc>
          <w:tcPr>
            <w:tcW w:type="dxa" w:w="4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D3B66"/>
                <w:sz w:val="20"/>
                <w:szCs w:val="20"/>
              </w:rPr>
              <w:t xml:space="preserve">Autonomisation des femmes et des jeunes</w:t>
            </w:r>
          </w:p>
        </w:tc>
        <w:tc>
          <w:tcPr>
            <w:tcW w:type="dxa" w:w="5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 25 femmes entrepreneures + 35 jeunes &lt; 35 ans intégrés</w:t>
            </w:r>
          </w:p>
        </w:tc>
      </w:tr>
      <w:tr>
        <w:tc>
          <w:tcPr>
            <w:tcW w:type="dxa" w:w="4013"/>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alibri" w:cs="Calibri" w:eastAsia="Calibri" w:hAnsi="Calibri"/>
                <w:b/>
                <w:bCs/>
                <w:color w:val="0D3B66"/>
                <w:sz w:val="20"/>
                <w:szCs w:val="20"/>
              </w:rPr>
              <w:t xml:space="preserve">Transfert de compétences et formation de formateurs</w:t>
            </w:r>
          </w:p>
        </w:tc>
        <w:tc>
          <w:tcPr>
            <w:tcW w:type="dxa" w:w="50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color w:val="333333"/>
                <w:sz w:val="20"/>
                <w:szCs w:val="20"/>
              </w:rPr>
              <w:t xml:space="preserve">✔ Participation aux sessions ToT du programme UNDP</w:t>
            </w:r>
          </w:p>
        </w:tc>
      </w:tr>
      <w:tr>
        <w:tc>
          <w:tcPr>
            <w:tcW w:type="dxa" w:w="4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D3B66"/>
                <w:sz w:val="20"/>
                <w:szCs w:val="20"/>
              </w:rPr>
              <w:t xml:space="preserve">Capacité d'absorption et d'incubation à l'échelle</w:t>
            </w:r>
          </w:p>
        </w:tc>
        <w:tc>
          <w:tcPr>
            <w:tcW w:type="dxa" w:w="5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 25 bénéficiaires physiques + 60+ en accompagnement à distance</w:t>
            </w:r>
          </w:p>
        </w:tc>
      </w:tr>
      <w:tr>
        <w:tc>
          <w:tcPr>
            <w:tcW w:type="dxa" w:w="4013"/>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alibri" w:cs="Calibri" w:eastAsia="Calibri" w:hAnsi="Calibri"/>
                <w:b/>
                <w:bCs/>
                <w:color w:val="0D3B66"/>
                <w:sz w:val="20"/>
                <w:szCs w:val="20"/>
              </w:rPr>
              <w:t xml:space="preserve">Partenariats institutionnels établis</w:t>
            </w:r>
          </w:p>
        </w:tc>
        <w:tc>
          <w:tcPr>
            <w:tcW w:type="dxa" w:w="50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color w:val="333333"/>
                <w:sz w:val="20"/>
                <w:szCs w:val="20"/>
              </w:rPr>
              <w:t xml:space="preserve">✔ INRAA, ITGC, BADR, NESDA, ANGEM, Université d'Adrar</w:t>
            </w:r>
          </w:p>
        </w:tc>
      </w:tr>
      <w:tr>
        <w:tc>
          <w:tcPr>
            <w:tcW w:type="dxa" w:w="4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D3B66"/>
                <w:sz w:val="20"/>
                <w:szCs w:val="20"/>
              </w:rPr>
              <w:t xml:space="preserve">Contribution aux Objectifs de Développement Durable</w:t>
            </w:r>
          </w:p>
        </w:tc>
        <w:tc>
          <w:tcPr>
            <w:tcW w:type="dxa" w:w="5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 ODD 1, 2, 8, 9, 10, 11, 13, 15, 17</w:t>
            </w:r>
          </w:p>
        </w:tc>
      </w:tr>
    </w:tbl>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10.2 Contribution aux Objectifs de Développement Durable (ODD)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26"/>
        <w:gridCol w:w="6000"/>
      </w:tblGrid>
      <w:tr>
        <w:trPr>
          <w:tblHeader/>
        </w:trPr>
        <w:tc>
          <w:tcPr>
            <w:tcW w:type="dxa" w:w="9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N°</w:t>
            </w:r>
          </w:p>
        </w:tc>
        <w:tc>
          <w:tcPr>
            <w:tcW w:type="dxa" w:w="2126"/>
            <w:tcBorders>
              <w:top w:val="single" w:color="CCCCCC" w:sz="1"/>
              <w:left w:val="single" w:color="CCCCCC" w:sz="1"/>
              <w:bottom w:val="single" w:color="CCCCCC" w:sz="1"/>
              <w:right w:val="single" w:color="CCCCCC" w:sz="1"/>
            </w:tcBorders>
            <w:shd w:fill="0D3B66" w:val="clear"/>
            <w:tcMar>
              <w:top w:type="dxa" w:w="100"/>
              <w:left w:type="dxa" w:w="120"/>
              <w:bottom w:type="dxa" w:w="100"/>
              <w:right w:type="dxa" w:w="120"/>
            </w:tcMar>
          </w:tcPr>
          <w:p>
            <w:r>
              <w:rPr>
                <w:rFonts w:ascii="Calibri" w:cs="Calibri" w:eastAsia="Calibri" w:hAnsi="Calibri"/>
                <w:b/>
                <w:bCs/>
                <w:color w:val="FFFFFF"/>
                <w:sz w:val="20"/>
                <w:szCs w:val="20"/>
              </w:rPr>
              <w:t xml:space="preserve">Objectif de Développement Durable</w:t>
            </w:r>
          </w:p>
        </w:tc>
        <w:tc>
          <w:tcPr>
            <w:tcW w:type="dxa" w:w="6000"/>
            <w:tcBorders>
              <w:top w:val="single" w:color="CCCCCC" w:sz="1"/>
              <w:left w:val="single" w:color="CCCCCC" w:sz="1"/>
              <w:bottom w:val="single" w:color="CCCCCC" w:sz="1"/>
              <w:right w:val="single" w:color="CCCCCC" w:sz="1"/>
            </w:tcBorders>
            <w:shd w:fill="0D3B66" w:val="clear"/>
            <w:tcMar>
              <w:top w:type="dxa" w:w="100"/>
              <w:left w:type="dxa" w:w="120"/>
              <w:bottom w:type="dxa" w:w="100"/>
              <w:right w:type="dxa" w:w="120"/>
            </w:tcMar>
          </w:tcPr>
          <w:p>
            <w:r>
              <w:rPr>
                <w:rFonts w:ascii="Calibri" w:cs="Calibri" w:eastAsia="Calibri" w:hAnsi="Calibri"/>
                <w:b/>
                <w:bCs/>
                <w:color w:val="FFFFFF"/>
                <w:sz w:val="20"/>
                <w:szCs w:val="20"/>
              </w:rPr>
              <w:t xml:space="preserve">Contribution d'Oasis Tech Incubator</w:t>
            </w:r>
          </w:p>
        </w:tc>
      </w:tr>
      <w:tr>
        <w:tc>
          <w:tcPr>
            <w:tcW w:type="dxa" w:w="900"/>
            <w:tcBorders>
              <w:top w:val="single" w:color="CCCCCC" w:sz="1"/>
              <w:left w:val="single" w:color="CCCCCC" w:sz="1"/>
              <w:bottom w:val="single" w:color="CCCCCC" w:sz="1"/>
              <w:right w:val="single" w:color="CCCCCC" w:sz="1"/>
            </w:tcBorders>
            <w:shd w:fill="2E7D32"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ODD 1</w:t>
            </w:r>
          </w:p>
        </w:tc>
        <w:tc>
          <w:tcPr>
            <w:tcW w:type="dxa" w:w="21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0D3B66"/>
                <w:sz w:val="20"/>
                <w:szCs w:val="20"/>
              </w:rPr>
              <w:t xml:space="preserve">Pas de pauvreté</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444444"/>
                <w:sz w:val="20"/>
                <w:szCs w:val="20"/>
              </w:rPr>
              <w:t xml:space="preserve">Autonomisation économique des populations marginalisées</w:t>
            </w:r>
          </w:p>
        </w:tc>
      </w:tr>
      <w:tr>
        <w:tc>
          <w:tcPr>
            <w:tcW w:type="dxa" w:w="900"/>
            <w:tcBorders>
              <w:top w:val="single" w:color="CCCCCC" w:sz="1"/>
              <w:left w:val="single" w:color="CCCCCC" w:sz="1"/>
              <w:bottom w:val="single" w:color="CCCCCC" w:sz="1"/>
              <w:right w:val="single" w:color="CCCCCC" w:sz="1"/>
            </w:tcBorders>
            <w:shd w:fill="2E7D32"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ODD 2</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D3B66"/>
                <w:sz w:val="20"/>
                <w:szCs w:val="20"/>
              </w:rPr>
              <w:t xml:space="preserve">Faim Zéro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AgriTech et agriculture sahélienne durable</w:t>
            </w:r>
          </w:p>
        </w:tc>
      </w:tr>
      <w:tr>
        <w:tc>
          <w:tcPr>
            <w:tcW w:type="dxa" w:w="900"/>
            <w:tcBorders>
              <w:top w:val="single" w:color="CCCCCC" w:sz="1"/>
              <w:left w:val="single" w:color="CCCCCC" w:sz="1"/>
              <w:bottom w:val="single" w:color="CCCCCC" w:sz="1"/>
              <w:right w:val="single" w:color="CCCCCC" w:sz="1"/>
            </w:tcBorders>
            <w:shd w:fill="2E7D32"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ODD 8</w:t>
            </w:r>
          </w:p>
        </w:tc>
        <w:tc>
          <w:tcPr>
            <w:tcW w:type="dxa" w:w="21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0D3B66"/>
                <w:sz w:val="20"/>
                <w:szCs w:val="20"/>
              </w:rPr>
              <w:t xml:space="preserve">Travail décent &amp; Croissance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444444"/>
                <w:sz w:val="20"/>
                <w:szCs w:val="20"/>
              </w:rPr>
              <w:t xml:space="preserve">Création directe de 75 emplois stables à l'horizon 2027</w:t>
            </w:r>
          </w:p>
        </w:tc>
      </w:tr>
      <w:tr>
        <w:tc>
          <w:tcPr>
            <w:tcW w:type="dxa" w:w="900"/>
            <w:tcBorders>
              <w:top w:val="single" w:color="CCCCCC" w:sz="1"/>
              <w:left w:val="single" w:color="CCCCCC" w:sz="1"/>
              <w:bottom w:val="single" w:color="CCCCCC" w:sz="1"/>
              <w:right w:val="single" w:color="CCCCCC" w:sz="1"/>
            </w:tcBorders>
            <w:shd w:fill="2E7D32"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ODD 9</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D3B66"/>
                <w:sz w:val="20"/>
                <w:szCs w:val="20"/>
              </w:rPr>
              <w:t xml:space="preserve">Innovation &amp; Infrastructure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FabLab, prototypes MVP, technologies vertes</w:t>
            </w:r>
          </w:p>
        </w:tc>
      </w:tr>
      <w:tr>
        <w:tc>
          <w:tcPr>
            <w:tcW w:type="dxa" w:w="900"/>
            <w:tcBorders>
              <w:top w:val="single" w:color="CCCCCC" w:sz="1"/>
              <w:left w:val="single" w:color="CCCCCC" w:sz="1"/>
              <w:bottom w:val="single" w:color="CCCCCC" w:sz="1"/>
              <w:right w:val="single" w:color="CCCCCC" w:sz="1"/>
            </w:tcBorders>
            <w:shd w:fill="2E7D32"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ODD 10</w:t>
            </w:r>
          </w:p>
        </w:tc>
        <w:tc>
          <w:tcPr>
            <w:tcW w:type="dxa" w:w="21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0D3B66"/>
                <w:sz w:val="20"/>
                <w:szCs w:val="20"/>
              </w:rPr>
              <w:t xml:space="preserve">Inégalités réduites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444444"/>
                <w:sz w:val="20"/>
                <w:szCs w:val="20"/>
              </w:rPr>
              <w:t xml:space="preserve">Intégration des zones isolées du Grand Sud algérien</w:t>
            </w:r>
          </w:p>
        </w:tc>
      </w:tr>
      <w:tr>
        <w:tc>
          <w:tcPr>
            <w:tcW w:type="dxa" w:w="900"/>
            <w:tcBorders>
              <w:top w:val="single" w:color="CCCCCC" w:sz="1"/>
              <w:left w:val="single" w:color="CCCCCC" w:sz="1"/>
              <w:bottom w:val="single" w:color="CCCCCC" w:sz="1"/>
              <w:right w:val="single" w:color="CCCCCC" w:sz="1"/>
            </w:tcBorders>
            <w:shd w:fill="2E7D32"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ODD 13</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D3B66"/>
                <w:sz w:val="20"/>
                <w:szCs w:val="20"/>
              </w:rPr>
              <w:t xml:space="preserve">Action climatique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Réduction empreinte carbone, énergies renouvelables</w:t>
            </w:r>
          </w:p>
        </w:tc>
      </w:tr>
      <w:tr>
        <w:tc>
          <w:tcPr>
            <w:tcW w:type="dxa" w:w="900"/>
            <w:tcBorders>
              <w:top w:val="single" w:color="CCCCCC" w:sz="1"/>
              <w:left w:val="single" w:color="CCCCCC" w:sz="1"/>
              <w:bottom w:val="single" w:color="CCCCCC" w:sz="1"/>
              <w:right w:val="single" w:color="CCCCCC" w:sz="1"/>
            </w:tcBorders>
            <w:shd w:fill="2E7D32"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ODD 15</w:t>
            </w:r>
          </w:p>
        </w:tc>
        <w:tc>
          <w:tcPr>
            <w:tcW w:type="dxa" w:w="21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0D3B66"/>
                <w:sz w:val="20"/>
                <w:szCs w:val="20"/>
              </w:rPr>
              <w:t xml:space="preserve">Vie terrestre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444444"/>
                <w:sz w:val="20"/>
                <w:szCs w:val="20"/>
              </w:rPr>
              <w:t xml:space="preserve">Gestion durable des ressources naturelles sahariennes</w:t>
            </w:r>
          </w:p>
        </w:tc>
      </w:tr>
      <w:tr>
        <w:tc>
          <w:tcPr>
            <w:tcW w:type="dxa" w:w="900"/>
            <w:tcBorders>
              <w:top w:val="single" w:color="CCCCCC" w:sz="1"/>
              <w:left w:val="single" w:color="CCCCCC" w:sz="1"/>
              <w:bottom w:val="single" w:color="CCCCCC" w:sz="1"/>
              <w:right w:val="single" w:color="CCCCCC" w:sz="1"/>
            </w:tcBorders>
            <w:shd w:fill="2E7D32"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ODD 17</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D3B66"/>
                <w:sz w:val="20"/>
                <w:szCs w:val="20"/>
              </w:rPr>
              <w:t xml:space="preserve">Partenariats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Réseau INRAA, BADR, UNDP, universités, ministères</w:t>
            </w:r>
          </w:p>
        </w:tc>
      </w:tr>
    </w:tbl>
    <w:p>
      <w:pPr>
        <w:spacing w:after="100" w:before="100"/>
      </w:pPr>
      <w:r>
        <w:t xml:space="preserve"/>
      </w:r>
    </w:p>
    <w:p>
      <w:pPr>
        <w:pStyle w:val="Heading2"/>
        <w:spacing w:after="150" w:before="300"/>
      </w:pPr>
      <w:r>
        <w:rPr>
          <w:rFonts w:ascii="Calibri" w:cs="Calibri" w:eastAsia="Calibri" w:hAnsi="Calibri"/>
          <w:b/>
          <w:bCs/>
          <w:color w:val="2E7D32"/>
          <w:sz w:val="28"/>
          <w:szCs w:val="28"/>
        </w:rPr>
        <w:t xml:space="preserve">10.3 Facteurs Clés de Succès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jc w:val="center"/>
            </w:pPr>
            <w:r>
              <w:rPr>
                <w:rFonts w:ascii="Calibri" w:cs="Calibri" w:eastAsia="Calibri" w:hAnsi="Calibri"/>
                <w:b/>
                <w:bCs/>
                <w:color w:val="FFFFFF"/>
                <w:sz w:val="24"/>
                <w:szCs w:val="24"/>
              </w:rPr>
              <w:t xml:space="preserve">Ancrage Territorial Approfondi</w:t>
            </w:r>
          </w:p>
        </w:tc>
      </w:tr>
      <w:tr>
        <w:tc>
          <w:tcPr>
            <w:tcW w:type="dxa" w:w="9026"/>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Notre présence au cœur du Sud nous permet d'analyser avec précision les défis entrepreneuriaux</w:t>
            </w:r>
          </w:p>
        </w:tc>
      </w:tr>
      <w:tr>
        <w:tc>
          <w:tcPr>
            <w:tcW w:type="dxa" w:w="9026"/>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et d'adapter les programmes d'orientation aux spécificités environnementales et communautaires</w:t>
            </w:r>
          </w:p>
        </w:tc>
      </w:tr>
      <w:tr>
        <w:tc>
          <w:tcPr>
            <w:tcW w:type="dxa" w:w="9026"/>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que les incubateurs du Nord ne connaissent pas.</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jc w:val="center"/>
            </w:pPr>
            <w:r>
              <w:rPr>
                <w:rFonts w:ascii="Calibri" w:cs="Calibri" w:eastAsia="Calibri" w:hAnsi="Calibri"/>
                <w:b/>
                <w:bCs/>
                <w:color w:val="FFFFFF"/>
                <w:sz w:val="24"/>
                <w:szCs w:val="24"/>
              </w:rPr>
              <w:t xml:space="preserve">Focalisation sur l'Intensité Emploi et la Durabilité</w:t>
            </w:r>
          </w:p>
        </w:tc>
      </w:tr>
      <w:tr>
        <w:tc>
          <w:tcPr>
            <w:tcW w:type="dxa" w:w="9026"/>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Nous ciblons les secteurs de l'agriculture durable et de l'artisanat — les plus aptes à créer</w:t>
            </w:r>
          </w:p>
        </w:tc>
      </w:tr>
      <w:tr>
        <w:tc>
          <w:tcPr>
            <w:tcW w:type="dxa" w:w="9026"/>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des emplois intensifs et à ancrer les populations locales sur leurs terres</w:t>
            </w:r>
          </w:p>
        </w:tc>
      </w:tr>
      <w:tr>
        <w:tc>
          <w:tcPr>
            <w:tcW w:type="dxa" w:w="9026"/>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via le développement économique circulaire et vert.</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jc w:val="center"/>
            </w:pPr>
            <w:r>
              <w:rPr>
                <w:rFonts w:ascii="Calibri" w:cs="Calibri" w:eastAsia="Calibri" w:hAnsi="Calibri"/>
                <w:b/>
                <w:bCs/>
                <w:color w:val="FFFFFF"/>
                <w:sz w:val="24"/>
                <w:szCs w:val="24"/>
              </w:rPr>
              <w:t xml:space="preserve">Disponibilité Immédiate pour le Transfert de Compétences</w:t>
            </w:r>
          </w:p>
        </w:tc>
      </w:tr>
      <w:tr>
        <w:tc>
          <w:tcPr>
            <w:tcW w:type="dxa" w:w="9026"/>
            <w:tcBorders>
              <w:top w:val="none" w:color="FFFFFF" w:sz="0"/>
              <w:left w:val="none" w:color="FFFFFF" w:sz="0"/>
              <w:bottom w:val="none" w:color="FFFFFF" w:sz="0"/>
              <w:right w:val="none" w:color="FFFFFF" w:sz="0"/>
            </w:tcBorders>
            <w:shd w:fill="FFF8E1"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La participation de notre équipe dirigeante aux sessions « Formation de Formateurs » (ToT)</w:t>
            </w:r>
          </w:p>
        </w:tc>
      </w:tr>
      <w:tr>
        <w:tc>
          <w:tcPr>
            <w:tcW w:type="dxa" w:w="9026"/>
            <w:tcBorders>
              <w:top w:val="none" w:color="FFFFFF" w:sz="0"/>
              <w:left w:val="none" w:color="FFFFFF" w:sz="0"/>
              <w:bottom w:val="none" w:color="FFFFFF" w:sz="0"/>
              <w:right w:val="none" w:color="FFFFFF" w:sz="0"/>
            </w:tcBorders>
            <w:shd w:fill="FFF8E1"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garantira un cadre professionnel permanent et certifié internationalement,</w:t>
            </w:r>
          </w:p>
        </w:tc>
      </w:tr>
      <w:tr>
        <w:tc>
          <w:tcPr>
            <w:tcW w:type="dxa" w:w="9026"/>
            <w:tcBorders>
              <w:top w:val="none" w:color="FFFFFF" w:sz="0"/>
              <w:left w:val="none" w:color="FFFFFF" w:sz="0"/>
              <w:bottom w:val="none" w:color="FFFFFF" w:sz="0"/>
              <w:right w:val="none" w:color="FFFFFF" w:sz="0"/>
            </w:tcBorders>
            <w:shd w:fill="FFF8E1"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assurant la continuité des résultats du programme UNDP jusqu'en décembre 2027 et au-delà.</w:t>
            </w:r>
          </w:p>
        </w:tc>
      </w:tr>
    </w:tbl>
    <w:p>
      <w:pPr>
        <w:spacing w:after="200" w:before="200"/>
      </w:pPr>
      <w:r>
        <w:t xml:space="preserve"/>
      </w:r>
    </w:p>
    <w:p>
      <w:pPr>
        <w:pStyle w:val="Heading1"/>
        <w:spacing w:after="200" w:before="400"/>
      </w:pPr>
      <w:r>
        <w:rPr>
          <w:rFonts w:ascii="Calibri" w:cs="Calibri" w:eastAsia="Calibri" w:hAnsi="Calibri"/>
          <w:b/>
          <w:bCs/>
          <w:color w:val="0D3B66"/>
          <w:sz w:val="36"/>
          <w:szCs w:val="36"/>
        </w:rPr>
        <w:t xml:space="preserve">Conclusion et Appel à Partenariat</w:t>
      </w:r>
    </w:p>
    <w:p>
      <w:pPr>
        <w:pBdr>
          <w:bottom w:val="single" w:color="C9A227" w:sz="6" w:space="1"/>
        </w:pBdr>
        <w:spacing w:after="120" w:before="120"/>
      </w:pPr>
      <w:r>
        <w:t xml:space="preserve"/>
      </w:r>
    </w:p>
    <w:p>
      <w:pPr>
        <w:spacing w:after="100" w:before="100"/>
      </w:pPr>
      <w:r>
        <w:t xml:space="preserve"/>
      </w:r>
    </w:p>
    <w:p>
      <w:pPr>
        <w:spacing w:after="80" w:before="80"/>
        <w:jc w:val="both"/>
      </w:pPr>
      <w:r>
        <w:rPr>
          <w:rFonts w:ascii="Calibri" w:cs="Calibri" w:eastAsia="Calibri" w:hAnsi="Calibri"/>
          <w:b w:val="false"/>
          <w:bCs w:val="false"/>
          <w:color w:val="333333"/>
          <w:sz w:val="22"/>
          <w:szCs w:val="22"/>
        </w:rPr>
        <w:t xml:space="preserve">Oasis Tech Incubator représente une opportunité unique d'investissement institutionnel dans l'une des régions les plus stratégiques et les moins desservies d'Algérie. Notre modèle d'incubation, éprouvé sur le terrain et adapté aux réalités du Grand Sud, offre des garanties concrètes de résultats mesurables, durables et alignés sur les priorités du programme GGJAP et les Objectifs de Développement Durable des Nations Unies.</w:t>
      </w:r>
    </w:p>
    <w:p>
      <w:pPr>
        <w:spacing w:after="100" w:before="100"/>
      </w:pPr>
      <w:r>
        <w:t xml:space="preserve"/>
      </w:r>
    </w:p>
    <w:p>
      <w:pPr>
        <w:spacing w:after="80" w:before="80"/>
        <w:jc w:val="both"/>
      </w:pPr>
      <w:r>
        <w:rPr>
          <w:rFonts w:ascii="Calibri" w:cs="Calibri" w:eastAsia="Calibri" w:hAnsi="Calibri"/>
          <w:b w:val="false"/>
          <w:bCs w:val="false"/>
          <w:color w:val="333333"/>
          <w:sz w:val="22"/>
          <w:szCs w:val="22"/>
        </w:rPr>
        <w:t xml:space="preserve">Nous invitons le PNUD Algérie, le Ministère de l'Économie de la Connaissance et l'ensemble des partenaires techniques et financiers à rejoindre cette dynamique de transformation économique et sociale dans le Sahara algérien, pour bâtir ensemble les fondations d'un développement vert, inclusif et résilient.</w:t>
      </w:r>
    </w:p>
    <w:p>
      <w:pP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jc w:val="center"/>
            </w:pPr>
            <w:r>
              <w:rPr>
                <w:rFonts w:ascii="Calibri" w:cs="Calibri" w:eastAsia="Calibri" w:hAnsi="Calibri"/>
                <w:b/>
                <w:bCs/>
                <w:color w:val="FFFFFF"/>
                <w:sz w:val="24"/>
                <w:szCs w:val="24"/>
              </w:rPr>
              <w:t xml:space="preserve">Contacts et Coordonnées</w:t>
            </w:r>
          </w:p>
        </w:tc>
      </w:tr>
      <w:tr>
        <w:tc>
          <w:tcPr>
            <w:tcW w:type="dxa" w:w="9026"/>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Abdelhamid Sghira — Fondateur &amp; Directeur Exécutif</w:t>
            </w:r>
          </w:p>
        </w:tc>
      </w:tr>
      <w:tr>
        <w:tc>
          <w:tcPr>
            <w:tcW w:type="dxa" w:w="9026"/>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Oasis Tech Incubator — Timimoun, Wilaya d'Adrar, Algérie</w:t>
            </w:r>
          </w:p>
        </w:tc>
      </w:tr>
      <w:tr>
        <w:tc>
          <w:tcPr>
            <w:tcW w:type="dxa" w:w="9026"/>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jc w:val="center"/>
            </w:pPr>
            <w:r>
              <w:rPr>
                <w:rFonts w:ascii="Calibri" w:cs="Calibri" w:eastAsia="Calibri" w:hAnsi="Calibri"/>
                <w:color w:val="333333"/>
                <w:sz w:val="22"/>
                <w:szCs w:val="22"/>
              </w:rPr>
              <w:t xml:space="preserve">Programme GGJAP — Candidature 2026</w:t>
            </w:r>
          </w:p>
        </w:tc>
      </w:tr>
    </w:tbl>
    <w:p>
      <w:pPr>
        <w:spacing w:after="100" w:before="10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jc w:val="center"/>
    </w:pPr>
    <w:r>
      <w:rPr>
        <w:rFonts w:ascii="Calibri" w:cs="Calibri" w:eastAsia="Calibri" w:hAnsi="Calibri"/>
        <w:color w:val="888888"/>
        <w:sz w:val="18"/>
        <w:szCs w:val="18"/>
      </w:rPr>
      <w:t xml:space="preserve">Page </w:t>
    </w:r>
    <w:r>
      <w:rPr>
        <w:rFonts w:ascii="Calibri" w:cs="Calibri" w:eastAsia="Calibri" w:hAnsi="Calibri"/>
        <w:color w:val="2E7D32"/>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Timimoun – Algérie  |  Document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jc w:val="right"/>
    </w:pPr>
    <w:r>
      <w:rPr>
        <w:rFonts w:ascii="Calibri" w:cs="Calibri" w:eastAsia="Calibri" w:hAnsi="Calibri"/>
        <w:i/>
        <w:iCs/>
        <w:color w:val="888888"/>
        <w:sz w:val="18"/>
        <w:szCs w:val="18"/>
      </w:rPr>
      <w:t xml:space="preserve">Oasis Tech Incubator — Dossier Institutionnel GGJAP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D3B66"/>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D32"/>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C9A2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2026-06-07T23:13:49.726Z</dcterms:created>
  <dcterms:modified xsi:type="dcterms:W3CDTF">2026-06-07T23:13:49.726Z</dcterms:modified>
</cp:coreProperties>
</file>

<file path=docProps/custom.xml><?xml version="1.0" encoding="utf-8"?>
<Properties xmlns="http://schemas.openxmlformats.org/officeDocument/2006/custom-properties" xmlns:vt="http://schemas.openxmlformats.org/officeDocument/2006/docPropsVTypes"/>
</file>