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b/>
          <w:bCs/>
          <w:color w:val="8B2E22"/>
          <w:sz w:val="22"/>
          <w:szCs w:val="22"/>
          <w:rtl/>
        </w:rPr>
        <w:t xml:space="preserve">ملحق الجدوى الاقتصادية</w:t>
      </w:r>
    </w:p>
    <w:p>
      <w:pPr>
        <w:bidi/>
        <w:spacing w:after="80"/>
        <w:jc w:val="center"/>
      </w:pPr>
      <w:r>
        <w:rPr>
          <w:b/>
          <w:bCs/>
          <w:color w:val="C0392B"/>
          <w:sz w:val="36"/>
          <w:szCs w:val="36"/>
          <w:rtl/>
        </w:rPr>
        <w:t xml:space="preserve">خطة العوائد المالية ونموذج العمل (Monetization &amp; Business Model)</w:t>
      </w:r>
    </w:p>
    <w:p>
      <w:pPr>
        <w:bidi/>
        <w:spacing w:after="260"/>
        <w:jc w:val="center"/>
      </w:pPr>
      <w:r>
        <w:rPr>
          <w:i/>
          <w:iCs/>
          <w:color w:val="555555"/>
          <w:sz w:val="22"/>
          <w:szCs w:val="22"/>
          <w:rtl/>
        </w:rPr>
        <w:t xml:space="preserve">منصة “الواحة الحمراء” (RedOasis Artisan) — فصل الجدوى الاقتصادية ونموذج العمل التجاري</w:t>
      </w:r>
    </w:p>
    <w:p>
      <w:pPr>
        <w:pBdr>
          <w:bottom w:val="single" w:color="C0392B" w:sz="6" w:space="4"/>
        </w:pBdr>
        <w:bidi/>
        <w:spacing w:after="200"/>
      </w:pPr>
    </w:p>
    <w:p>
      <w:pPr>
        <w:pStyle w:val="Heading1"/>
        <w:bidi/>
        <w:jc w:val="right"/>
      </w:pPr>
      <w:r>
        <w:rPr>
          <w:rtl/>
        </w:rPr>
        <w:t xml:space="preserve">مقدمة</w:t>
      </w:r>
    </w:p>
    <w:p>
      <w:pPr>
        <w:bidi/>
        <w:spacing w:after="120"/>
        <w:jc w:val="right"/>
      </w:pPr>
      <w:r>
        <w:rPr>
          <w:rtl/>
        </w:rPr>
        <w:t xml:space="preserve">لضمان استدامة منصة “الواحة الحمراء” (RedOasis Artisan) وتحولها من مجرد مشروع أكاديمي إلى مشروع ريادي حقيقي (Startup) قابل للتمويل والتوسع، يجب تبني نماذج ربحية (Revenue Models) متعددة ومتكاملة، لا ترهق الحرفي المحلي ولا تثقل كاهل المستفيد، وفي الوقت نفسه تضمن للمنصة تدفقات نقدية (Cash Flow) مستقرة ومتنوعة تكفي لتغطية تكاليف الاستضافة، التسويق الرقمي، الصيانة التقنية، وتطوير الميزات المستقبلية.</w:t>
      </w:r>
    </w:p>
    <w:p>
      <w:pPr>
        <w:bidi/>
        <w:spacing w:after="120"/>
        <w:jc w:val="right"/>
      </w:pPr>
      <w:r>
        <w:rPr>
          <w:rtl/>
        </w:rPr>
        <w:t xml:space="preserve">يقدم هذا الملحق خمسة نماذج ربحية أساسية مستلهمة من أفضل الممارسات العالمية في التجارة الإلكترونية والسياحة التجريبية، إضافة إلى توصيات للتطبيق البرمجي الفوري، ثم يُستكمل برؤية مالية أعمق تشمل هيكل التكاليف، توقعات الإيرادات، مؤشرات الأداء المالي الأساسية، وتحليلاً للمخاطر، بما يجعل هذا الفصل صالحاً للاستخدام أمام لجنة التحكيم وأي طرف تمويلي محتمل (حاضنات، صناديق دعم، أو مؤسسات أعمال).</w:t>
      </w:r>
    </w:p>
    <w:p>
      <w:pPr>
        <w:pStyle w:val="Heading1"/>
        <w:bidi/>
        <w:jc w:val="right"/>
      </w:pPr>
      <w:r>
        <w:rPr>
          <w:rtl/>
        </w:rPr>
        <w:t xml:space="preserve">المبحث الأول: النماذج الربحية المقترحة (Revenue Streams)</w:t>
      </w:r>
    </w:p>
    <w:p>
      <w:pPr>
        <w:bidi/>
        <w:spacing w:after="120"/>
        <w:jc w:val="right"/>
      </w:pPr>
      <w:r>
        <w:rPr>
          <w:rtl/>
        </w:rPr>
        <w:t xml:space="preserve">إليك أفضل الاستراتيجيات المقترحة لتحقيق عائد مالي مستدام للمنصة:</w:t>
      </w:r>
    </w:p>
    <w:p>
      <w:pPr>
        <w:pStyle w:val="Heading2"/>
        <w:bidi/>
        <w:jc w:val="right"/>
      </w:pPr>
      <w:r>
        <w:rPr>
          <w:rtl/>
        </w:rPr>
        <w:t xml:space="preserve">1. نموذج العمولة على المبيعات (Commission-Based Model)</w:t>
      </w:r>
    </w:p>
    <w:p>
      <w:pPr>
        <w:bidi/>
        <w:spacing w:after="120"/>
        <w:jc w:val="right"/>
      </w:pPr>
      <w:r>
        <w:rPr>
          <w:rtl/>
        </w:rPr>
        <w:t xml:space="preserve">وهو النموذج الأكثر شيوعاً في منصات التجارة الإلكترونية العالمية (مثل Etsy و Amazon).</w:t>
      </w:r>
    </w:p>
    <w:p>
      <w:pPr>
        <w:bidi/>
        <w:spacing w:after="60"/>
        <w:jc w:val="right"/>
      </w:pPr>
      <w:r>
        <w:rPr>
          <w:b/>
          <w:bCs/>
          <w:rtl/>
        </w:rPr>
        <w:t xml:space="preserve">كيفية العمل: </w:t>
      </w:r>
      <w:r>
        <w:rPr>
          <w:rtl/>
        </w:rPr>
        <w:t xml:space="preserve">يكون التسجيل وعرض المنتجات مجانياً تماماً للحرفيين لتشجيعهم على الانضمام. لكن عند إتمام أي عملية بيع عبر المنصة، تقتطع المنصة نسبة مئوية ثابتة (مثلاً من 5% إلى 15%) من قيمة المنتج.</w:t>
      </w:r>
    </w:p>
    <w:p>
      <w:pPr>
        <w:bidi/>
        <w:spacing w:after="60"/>
        <w:jc w:val="right"/>
      </w:pPr>
      <w:r>
        <w:rPr>
          <w:b/>
          <w:bCs/>
          <w:rtl/>
        </w:rPr>
        <w:t xml:space="preserve">الميزة الأكاديمية: </w:t>
      </w:r>
      <w:r>
        <w:rPr>
          <w:rtl/>
        </w:rPr>
        <w:t xml:space="preserve">يُعرف هذا النموذج بـ “الربح المشترك” (Win-Win)، حيث لا تجبر المنصة الحرفي على الدفع إلا إذا حقق هو ربحاً فعلياً، وهو ما يخفض حاجز الدخول (Entry Barrier) أمام الحرفيين الجدد.</w:t>
      </w:r>
    </w:p>
    <w:p>
      <w:pPr>
        <w:pStyle w:val="Heading2"/>
        <w:bidi/>
        <w:jc w:val="right"/>
      </w:pPr>
      <w:r>
        <w:rPr>
          <w:rtl/>
        </w:rPr>
        <w:t xml:space="preserve">2. نموذج الترويج والإعلانات المدفوعة (Featured Listings / Ads)</w:t>
      </w:r>
    </w:p>
    <w:p>
      <w:pPr>
        <w:bidi/>
        <w:spacing w:after="60"/>
        <w:jc w:val="right"/>
      </w:pPr>
      <w:r>
        <w:rPr>
          <w:b/>
          <w:bCs/>
          <w:rtl/>
        </w:rPr>
        <w:t xml:space="preserve">كيفية العمل: </w:t>
      </w:r>
      <w:r>
        <w:rPr>
          <w:rtl/>
        </w:rPr>
        <w:t xml:space="preserve">نظراً لأن المنصة ستضم العشرات من الحرفيين، قد يرغب بعضهم في إبراز منتجاته بشكل أكبر. يمكن للمنصة تحصيل رسوم رمزية (مثلاً 500 دج أسبوعياً) مقابل وضع منتج الحرفي في قسم “المنتجات المميزة” (Featured Products) في الصفحة الرئيسية، أو جعله يظهر في أعلى نتائج البحث.</w:t>
      </w:r>
    </w:p>
    <w:p>
      <w:pPr>
        <w:bidi/>
        <w:spacing w:after="60"/>
        <w:jc w:val="right"/>
      </w:pPr>
      <w:r>
        <w:rPr>
          <w:b/>
          <w:bCs/>
          <w:rtl/>
        </w:rPr>
        <w:t xml:space="preserve">الميزة: </w:t>
      </w:r>
      <w:r>
        <w:rPr>
          <w:rtl/>
        </w:rPr>
        <w:t xml:space="preserve">يوفر سيولة مالية فورية وثابتة نسبياً للمنصة دون انتظار حدوث عمليات بيع، وهو ما يحسّن من استقرار التدفق النقدي الشهري.</w:t>
      </w:r>
    </w:p>
    <w:p>
      <w:pPr>
        <w:pStyle w:val="Heading2"/>
        <w:bidi/>
        <w:jc w:val="right"/>
      </w:pPr>
      <w:r>
        <w:rPr>
          <w:rtl/>
        </w:rPr>
        <w:t xml:space="preserve">3. بيع “التجارب الثقافية” (Cultural Experience Booking)</w:t>
      </w:r>
    </w:p>
    <w:p>
      <w:pPr>
        <w:bidi/>
        <w:spacing w:after="120"/>
        <w:jc w:val="right"/>
      </w:pPr>
      <w:r>
        <w:rPr>
          <w:rtl/>
        </w:rPr>
        <w:t xml:space="preserve">هذا هو التوجه العالمي الجديد في السياحة (Experiential Tourism).</w:t>
      </w:r>
    </w:p>
    <w:p>
      <w:pPr>
        <w:bidi/>
        <w:spacing w:after="60"/>
        <w:jc w:val="right"/>
      </w:pPr>
      <w:r>
        <w:rPr>
          <w:b/>
          <w:bCs/>
          <w:rtl/>
        </w:rPr>
        <w:t xml:space="preserve">كيفية العمل: </w:t>
      </w:r>
      <w:r>
        <w:rPr>
          <w:rtl/>
        </w:rPr>
        <w:t xml:space="preserve">لا تكتفي المنصة ببيع السجادة المادية، بل تبيع تذكرة للسائح الأجنبي لحضور “ورشة عمل تفاعلية” مع الحرفي لتعلم كيفية النسيج أو صناعة الفخار في تيميمون.</w:t>
      </w:r>
    </w:p>
    <w:p>
      <w:pPr>
        <w:bidi/>
        <w:spacing w:after="60"/>
        <w:jc w:val="right"/>
      </w:pPr>
      <w:r>
        <w:rPr>
          <w:b/>
          <w:bCs/>
          <w:rtl/>
        </w:rPr>
        <w:t xml:space="preserve">الربح: </w:t>
      </w:r>
      <w:r>
        <w:rPr>
          <w:rtl/>
        </w:rPr>
        <w:t xml:space="preserve">تبيع المنصة التذكرة للسائح (مثلاً بـ 30 يورو)، وتأخذ المنصة عمولة 20% مقابل التنظيم والحجز الإلكتروني، وتعطي الباقي للحرفي.</w:t>
      </w:r>
    </w:p>
    <w:p>
      <w:pPr>
        <w:pStyle w:val="Heading2"/>
        <w:bidi/>
        <w:jc w:val="right"/>
      </w:pPr>
      <w:r>
        <w:rPr>
          <w:rtl/>
        </w:rPr>
        <w:t xml:space="preserve">4. الطلبات بالجملة والهدايا المؤسسية (B2B / Corporate Gifting)</w:t>
      </w:r>
    </w:p>
    <w:p>
      <w:pPr>
        <w:bidi/>
        <w:spacing w:after="60"/>
        <w:jc w:val="right"/>
      </w:pPr>
      <w:r>
        <w:rPr>
          <w:b/>
          <w:bCs/>
          <w:rtl/>
        </w:rPr>
        <w:t xml:space="preserve">كيفية العمل: </w:t>
      </w:r>
      <w:r>
        <w:rPr>
          <w:rtl/>
        </w:rPr>
        <w:t xml:space="preserve">استهداف الشركات الكبرى، الفنادق، أو الوكالات السياحية التي تبحث عن هدايا تقليدية أصيلة (هدايا نهاية السنة للموظفين، أو هدايا لضيوف الفنادق).</w:t>
      </w:r>
    </w:p>
    <w:p>
      <w:pPr>
        <w:bidi/>
        <w:spacing w:after="60"/>
        <w:jc w:val="right"/>
      </w:pPr>
      <w:r>
        <w:rPr>
          <w:b/>
          <w:bCs/>
          <w:rtl/>
        </w:rPr>
        <w:t xml:space="preserve">الربح: </w:t>
      </w:r>
      <w:r>
        <w:rPr>
          <w:rtl/>
        </w:rPr>
        <w:t xml:space="preserve">تلعب المنصة دور “الوسيط التجاري” (B2B Broker)، فتقوم بتجميع الطلب الكبير (مثلاً 100 برّاد فخاري)، وتتفاوض مع الحرفي على سعر الجملة، ثم تبيعها للشركة بهامش ربح (Profit Margin) ممتاز.</w:t>
      </w:r>
    </w:p>
    <w:p>
      <w:pPr>
        <w:pStyle w:val="Heading2"/>
        <w:bidi/>
        <w:jc w:val="right"/>
      </w:pPr>
      <w:r>
        <w:rPr>
          <w:rtl/>
        </w:rPr>
        <w:t xml:space="preserve">5. الرعاية والشراكات الاستراتيجية (Sponsorships &amp; Partnerships)</w:t>
      </w:r>
    </w:p>
    <w:p>
      <w:pPr>
        <w:bidi/>
        <w:spacing w:after="60"/>
        <w:jc w:val="right"/>
      </w:pPr>
      <w:r>
        <w:rPr>
          <w:b/>
          <w:bCs/>
          <w:rtl/>
        </w:rPr>
        <w:t xml:space="preserve">كيفية العمل: </w:t>
      </w:r>
      <w:r>
        <w:rPr>
          <w:rtl/>
        </w:rPr>
        <w:t xml:space="preserve">بما أن المنصة تحتوي على “متحف افتراضي” يروج للسياحة في تيميمون، يمكن البحث عن رعاة (Sponsors) مثل وكالات السياحة والسفر، أو الفنادق المحلية في تيميمون.</w:t>
      </w:r>
    </w:p>
    <w:p>
      <w:pPr>
        <w:bidi/>
        <w:spacing w:after="60"/>
        <w:jc w:val="right"/>
      </w:pPr>
      <w:r>
        <w:rPr>
          <w:b/>
          <w:bCs/>
          <w:rtl/>
        </w:rPr>
        <w:t xml:space="preserve">الربح: </w:t>
      </w:r>
      <w:r>
        <w:rPr>
          <w:rtl/>
        </w:rPr>
        <w:t xml:space="preserve">يدفع الفندق اشتراكاً شهرياً مقابل ظهور إعلان بانر (Banner) صغير ومندمج بأناقة في المنصة، على غرار: “هل تخطط لزيارة تيميمون لشراء هذه التحف؟ احجز إقامتك في فندق كذا”.</w:t>
      </w:r>
    </w:p>
    <w:p>
      <w:pPr>
        <w:pStyle w:val="Heading2"/>
        <w:bidi/>
        <w:jc w:val="right"/>
      </w:pPr>
      <w:r>
        <w:rPr>
          <w:rtl/>
        </w:rPr>
        <w:t xml:space="preserve">التوصية للتطبيق البرمجي الفوري في المشروع الحالي</w:t>
      </w:r>
    </w:p>
    <w:p>
      <w:pPr>
        <w:bidi/>
        <w:spacing w:after="120"/>
        <w:jc w:val="right"/>
      </w:pPr>
      <w:r>
        <w:rPr>
          <w:rtl/>
        </w:rPr>
        <w:t xml:space="preserve">إذا أردنا إبراز هذا الجانب الاقتصادي في واجهة المنصة الآن، يمكن إضافة العنصرين التاليين:</w:t>
      </w:r>
    </w:p>
    <w:p>
      <w:pPr>
        <w:pStyle w:val="ListParagraph"/>
        <w:numPr>
          <w:ilvl w:val="0"/>
          <w:numId w:val="2"/>
        </w:numPr>
        <w:bidi/>
        <w:spacing w:after="80"/>
        <w:jc w:val="right"/>
      </w:pPr>
      <w:r>
        <w:rPr>
          <w:rtl/>
        </w:rPr>
        <w:t xml:space="preserve">علامة “مميز” (Featured Badge): برمجة شارة ذهبية تظهر على بعض المنتجات لتبين للجنة التحكيم أن هذا المنتج “مدفوع الترويج”، مما يجسد عملياً نموذج الترويج المدفوع.</w:t>
      </w:r>
    </w:p>
    <w:p>
      <w:pPr>
        <w:pStyle w:val="ListParagraph"/>
        <w:numPr>
          <w:ilvl w:val="0"/>
          <w:numId w:val="2"/>
        </w:numPr>
        <w:bidi/>
        <w:spacing w:after="80"/>
        <w:jc w:val="right"/>
      </w:pPr>
      <w:r>
        <w:rPr>
          <w:rtl/>
        </w:rPr>
        <w:t xml:space="preserve">قسم “احجز ورشة عمل”: إضافة زر في صفحة الحرفي يسمح للسائح بحجز زيارة لورشته، مما يجسد فكرة بيع التجارب الثقافية ويُظهر للجنة التحكيم تطبيقاً فعلياً لنموذج الحجز.</w:t>
      </w:r>
    </w:p>
    <w:p>
      <w:r>
        <w:br w:type="page"/>
      </w:r>
    </w:p>
    <w:p>
      <w:pPr>
        <w:pStyle w:val="Heading1"/>
        <w:bidi/>
        <w:jc w:val="right"/>
      </w:pPr>
      <w:r>
        <w:rPr>
          <w:rtl/>
        </w:rPr>
        <w:t xml:space="preserve">المبحث الثاني: هيكل التكاليف وتوقعات الإيرادات (Cost Structure &amp; Revenue Projections)</w:t>
      </w:r>
    </w:p>
    <w:p>
      <w:pPr>
        <w:bidi/>
        <w:spacing w:after="120"/>
        <w:jc w:val="right"/>
      </w:pPr>
      <w:r>
        <w:rPr>
          <w:rtl/>
        </w:rPr>
        <w:t xml:space="preserve">لتعميق الجانب الاقتصادي للمذكرة وجعله أقرب لمعايير “نموذج الأعمال” (Business Model Canvas) المعتمد في حاضنات الأعمال، يُستحسن استكمال النماذج الربحية أعلاه بهيكل واضح للتكاليف التشغيلية، وتوقعات تقديرية للإيرادات على مدى السنة الأولى من التشغيل. الأرقام أدناه إرشادية (Indicative) ويمكن تعديلها حسب الواقع الميداني، لكنها تمنح المذكرة بعداً كمياً (Quantitative) يعزز مصداقيتها أمام لجنة التحكيم.</w:t>
      </w:r>
    </w:p>
    <w:p>
      <w:pPr>
        <w:pStyle w:val="Heading2"/>
        <w:bidi/>
        <w:jc w:val="right"/>
      </w:pPr>
      <w:r>
        <w:rPr>
          <w:rtl/>
        </w:rPr>
        <w:t xml:space="preserve">1. هيكل التكاليف التشغيلية الشهرية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c>
          <w:tcPr>
            <w:tcW w:type="dxa" w:w="2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bidi/>
              <w:jc w:val="center"/>
            </w:pPr>
            <w:r>
              <w:rPr>
                <w:b/>
                <w:bCs/>
                <w:color w:val="FFFFFF"/>
                <w:rtl/>
              </w:rPr>
              <w:t xml:space="preserve">ملاحظات</w:t>
            </w:r>
          </w:p>
        </w:tc>
        <w:tc>
          <w:tcPr>
            <w:tcW w:type="dxa" w:w="5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bidi/>
              <w:jc w:val="center"/>
            </w:pPr>
            <w:r>
              <w:rPr>
                <w:b/>
                <w:bCs/>
                <w:color w:val="FFFFFF"/>
                <w:rtl/>
              </w:rPr>
              <w:t xml:space="preserve">البند</w:t>
            </w:r>
          </w:p>
        </w:tc>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bidi/>
              <w:jc w:val="center"/>
            </w:pPr>
            <w:r>
              <w:rPr>
                <w:b/>
                <w:bCs/>
                <w:color w:val="FFFFFF"/>
                <w:rtl/>
              </w:rPr>
              <w:t xml:space="preserve">التكلفة الشهرية التقديرية (دج)</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استضافة + اسم نطاق (Domain)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استضافة المنصة (Hosting) وخدمات التخزين السحابي</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3,000 – 6,000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صيانة دورية</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الدعم التقني والتحديثات الأمنية والوظيفية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5,000 – 10,000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إشعارات SMS / WhatsApp API</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تكاليف التواصل الآلي مع الحرفيين والسياح (تأكيد الطلبات والحجوزات)</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2,000 – 4,000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تسويق رقمي</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حملات على فيسبوك وإنستغرام موجهة للسياح المحليين والدوليين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5,000 – 15,000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إدارة ومتابعة</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تعويض جزئي لمسؤول إدارة المنصة (إدخال المنتجات، التواصل مع الحرفيين)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10,000 – 20,000</w:t>
            </w:r>
          </w:p>
        </w:tc>
      </w:tr>
      <w:tr>
        <w:tc>
          <w:tcPr>
            <w:tcW w:type="dxa" w:w="2160"/>
            <w:tcBorders>
              <w:top w:val="single" w:color="CCCCCC" w:sz="1"/>
              <w:left w:val="single" w:color="CCCCCC" w:sz="1"/>
              <w:bottom w:val="single" w:color="CCCCCC" w:sz="1"/>
              <w:right w:val="single" w:color="CCCCCC" w:sz="1"/>
            </w:tcBorders>
            <w:shd w:fill="F4D7CC" w:val="clear"/>
            <w:tcMar>
              <w:top w:type="dxa" w:w="80"/>
              <w:left w:type="dxa" w:w="120"/>
              <w:bottom w:type="dxa" w:w="80"/>
              <w:right w:type="dxa" w:w="120"/>
            </w:tcMar>
            <w:vAlign w:val="center"/>
          </w:tcPr>
          <w:p>
            <w:pPr>
              <w:bidi/>
              <w:jc w:val="right"/>
            </w:pPr>
            <w:r>
              <w:rPr>
                <w:b/>
                <w:bCs/>
                <w:rtl/>
              </w:rPr>
              <w:t xml:space="preserve">الإجمالي التقديري</w:t>
            </w:r>
          </w:p>
        </w:tc>
        <w:tc>
          <w:tcPr>
            <w:tcW w:type="dxa" w:w="5400"/>
            <w:tcBorders>
              <w:top w:val="single" w:color="CCCCCC" w:sz="1"/>
              <w:left w:val="single" w:color="CCCCCC" w:sz="1"/>
              <w:bottom w:val="single" w:color="CCCCCC" w:sz="1"/>
              <w:right w:val="single" w:color="CCCCCC" w:sz="1"/>
            </w:tcBorders>
            <w:shd w:fill="F4D7CC" w:val="clear"/>
            <w:tcMar>
              <w:top w:type="dxa" w:w="80"/>
              <w:left w:type="dxa" w:w="120"/>
              <w:bottom w:type="dxa" w:w="80"/>
              <w:right w:type="dxa" w:w="120"/>
            </w:tcMar>
            <w:vAlign w:val="center"/>
          </w:tcPr>
          <w:p>
            <w:pPr>
              <w:bidi/>
              <w:jc w:val="right"/>
            </w:pPr>
            <w:r>
              <w:rPr>
                <w:b/>
                <w:bCs/>
                <w:rtl/>
              </w:rPr>
              <w:t xml:space="preserve">مجموع التكاليف التشغيلية الشهرية</w:t>
            </w:r>
          </w:p>
        </w:tc>
        <w:tc>
          <w:tcPr>
            <w:tcW w:type="dxa" w:w="1800"/>
            <w:tcBorders>
              <w:top w:val="single" w:color="CCCCCC" w:sz="1"/>
              <w:left w:val="single" w:color="CCCCCC" w:sz="1"/>
              <w:bottom w:val="single" w:color="CCCCCC" w:sz="1"/>
              <w:right w:val="single" w:color="CCCCCC" w:sz="1"/>
            </w:tcBorders>
            <w:shd w:fill="F4D7CC" w:val="clear"/>
            <w:tcMar>
              <w:top w:type="dxa" w:w="80"/>
              <w:left w:type="dxa" w:w="120"/>
              <w:bottom w:type="dxa" w:w="80"/>
              <w:right w:type="dxa" w:w="120"/>
            </w:tcMar>
            <w:vAlign w:val="center"/>
          </w:tcPr>
          <w:p>
            <w:pPr>
              <w:bidi/>
              <w:jc w:val="right"/>
            </w:pPr>
            <w:r>
              <w:rPr>
                <w:b/>
                <w:bCs/>
                <w:rtl/>
              </w:rPr>
              <w:t xml:space="preserve">25,000 – 55,000</w:t>
            </w:r>
          </w:p>
        </w:tc>
      </w:tr>
    </w:tbl>
    <w:p>
      <w:pPr>
        <w:spacing w:after="160"/>
      </w:pPr>
    </w:p>
    <w:p>
      <w:pPr>
        <w:pStyle w:val="Heading2"/>
        <w:bidi/>
        <w:jc w:val="right"/>
      </w:pPr>
      <w:r>
        <w:rPr>
          <w:rtl/>
        </w:rPr>
        <w:t xml:space="preserve">2. توقعات الإيرادات الشهرية حسب مصدر الدخل (سنة التشغيل الأولى)</w:t>
      </w:r>
    </w:p>
    <w:p>
      <w:pPr>
        <w:bidi/>
        <w:spacing w:after="120"/>
        <w:jc w:val="right"/>
      </w:pPr>
      <w:r>
        <w:rPr>
          <w:rtl/>
        </w:rPr>
        <w:t xml:space="preserve">الجدول التالي يقدم سيناريو متحفظ (Conservative Scenario) لمرحلة الانطلاق، يفترض نشاطاً متوسطاً يتناسب مع حجم سوق الحرف التقليدية في منطقة تيميمون خلال السنة الأولى.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2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bidi/>
              <w:jc w:val="center"/>
            </w:pPr>
            <w:r>
              <w:rPr>
                <w:b/>
                <w:bCs/>
                <w:color w:val="FFFFFF"/>
                <w:rtl/>
              </w:rPr>
              <w:t xml:space="preserve">الإيراد الشهري التقديري (دج)</w:t>
            </w:r>
          </w:p>
        </w:tc>
        <w:tc>
          <w:tcPr>
            <w:tcW w:type="dxa" w:w="2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bidi/>
              <w:jc w:val="center"/>
            </w:pPr>
            <w:r>
              <w:rPr>
                <w:b/>
                <w:bCs/>
                <w:color w:val="FFFFFF"/>
                <w:rtl/>
              </w:rPr>
              <w:t xml:space="preserve">الافتراض الكمي</w:t>
            </w:r>
          </w:p>
        </w:tc>
        <w:tc>
          <w:tcPr>
            <w:tcW w:type="dxa" w:w="3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bidi/>
              <w:jc w:val="center"/>
            </w:pPr>
            <w:r>
              <w:rPr>
                <w:b/>
                <w:bCs/>
                <w:color w:val="FFFFFF"/>
                <w:rtl/>
              </w:rPr>
              <w:t xml:space="preserve">مصدر الدخل</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4,000 – 12,000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حجم مبيعات شهري 80,000–150,000 دج بعمولة 5-8%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عمولة المبيعات (Commission)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5,000 – 10,000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10 حرفيين مميزين × 500-1,000 دج أسبوعياً</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الإعلانات والترويج المدفوع (Featured)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8,000 – 20,000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5-8 تذاكر ورشات شهرياً × 30 يورو × عمولة 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التجارب الثقافية (Experience Booking)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0 – 25,000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متغير حسب توفر طلبات الجملة (موسمي)</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الطلبات المؤسسية B2B</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bCs/>
                <w:rtl/>
              </w:rPr>
              <w:t xml:space="preserve">3,000 – 8,000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1-2 شراكات (فنادق/وكالات) × اشتراك شهري</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الرعاية والشراكات</w:t>
            </w:r>
          </w:p>
        </w:tc>
      </w:tr>
      <w:tr>
        <w:tc>
          <w:tcPr>
            <w:tcW w:type="dxa" w:w="2700"/>
            <w:tcBorders>
              <w:top w:val="single" w:color="CCCCCC" w:sz="1"/>
              <w:left w:val="single" w:color="CCCCCC" w:sz="1"/>
              <w:bottom w:val="single" w:color="CCCCCC" w:sz="1"/>
              <w:right w:val="single" w:color="CCCCCC" w:sz="1"/>
            </w:tcBorders>
            <w:shd w:fill="D7F0E0" w:val="clear"/>
            <w:tcMar>
              <w:top w:type="dxa" w:w="80"/>
              <w:left w:type="dxa" w:w="120"/>
              <w:bottom w:type="dxa" w:w="80"/>
              <w:right w:type="dxa" w:w="120"/>
            </w:tcMar>
            <w:vAlign w:val="center"/>
          </w:tcPr>
          <w:p>
            <w:pPr>
              <w:bidi/>
              <w:jc w:val="right"/>
            </w:pPr>
            <w:r>
              <w:rPr>
                <w:b/>
                <w:bCs/>
                <w:rtl/>
              </w:rPr>
              <w:t xml:space="preserve">20,000 – 75,000</w:t>
            </w:r>
          </w:p>
        </w:tc>
        <w:tc>
          <w:tcPr>
            <w:tcW w:type="dxa" w:w="2700"/>
            <w:tcBorders>
              <w:top w:val="single" w:color="CCCCCC" w:sz="1"/>
              <w:left w:val="single" w:color="CCCCCC" w:sz="1"/>
              <w:bottom w:val="single" w:color="CCCCCC" w:sz="1"/>
              <w:right w:val="single" w:color="CCCCCC" w:sz="1"/>
            </w:tcBorders>
            <w:shd w:fill="D7F0E0" w:val="clear"/>
            <w:tcMar>
              <w:top w:type="dxa" w:w="80"/>
              <w:left w:type="dxa" w:w="120"/>
              <w:bottom w:type="dxa" w:w="80"/>
              <w:right w:type="dxa" w:w="120"/>
            </w:tcMar>
            <w:vAlign w:val="center"/>
          </w:tcPr>
          <w:p>
            <w:pPr>
              <w:bidi/>
              <w:jc w:val="right"/>
            </w:pPr>
            <w:r>
              <w:rPr>
                <w:b/>
                <w:bCs/>
                <w:rtl/>
              </w:rPr>
              <w:t xml:space="preserve">مجموع الإيرادات الشهرية المتوقعة</w:t>
            </w:r>
          </w:p>
        </w:tc>
        <w:tc>
          <w:tcPr>
            <w:tcW w:type="dxa" w:w="3960"/>
            <w:tcBorders>
              <w:top w:val="single" w:color="CCCCCC" w:sz="1"/>
              <w:left w:val="single" w:color="CCCCCC" w:sz="1"/>
              <w:bottom w:val="single" w:color="CCCCCC" w:sz="1"/>
              <w:right w:val="single" w:color="CCCCCC" w:sz="1"/>
            </w:tcBorders>
            <w:shd w:fill="D7F0E0" w:val="clear"/>
            <w:tcMar>
              <w:top w:type="dxa" w:w="80"/>
              <w:left w:type="dxa" w:w="120"/>
              <w:bottom w:type="dxa" w:w="80"/>
              <w:right w:type="dxa" w:w="120"/>
            </w:tcMar>
            <w:vAlign w:val="center"/>
          </w:tcPr>
          <w:p>
            <w:pPr>
              <w:bidi/>
              <w:jc w:val="right"/>
            </w:pPr>
            <w:r>
              <w:rPr>
                <w:b/>
                <w:bCs/>
                <w:rtl/>
              </w:rPr>
              <w:t xml:space="preserve">الإجمالي</w:t>
            </w:r>
          </w:p>
        </w:tc>
      </w:tr>
    </w:tbl>
    <w:p>
      <w:pPr>
        <w:spacing w:after="160"/>
      </w:pPr>
    </w:p>
    <w:p>
      <w:pPr>
        <w:bidi/>
        <w:spacing w:after="120"/>
        <w:jc w:val="right"/>
      </w:pPr>
      <w:r>
        <w:rPr>
          <w:rtl/>
        </w:rPr>
        <w:t xml:space="preserve">يُلاحظ أن الهامش بين التكاليف الشهرية (25,000–55,000 دج) والإيرادات المتوقعة (20,000–75,000 دج) يبقى ضيقاً في الأشهر الأولى، وهو أمر طبيعي في مرحلة الانطلاق (Pre-Break-Even). تحقيق نقطة التعادل (Break-Even Point) يصبح واقعياً تدريجياً مع نمو عدد الحرفيين المسجلين وتكرار الحجوزات، خصوصاً مع دخول الموسم السياحي (أكتوبر - أبريل) في منطقة تيميمون.</w:t>
      </w:r>
    </w:p>
    <w:p>
      <w:pPr>
        <w:pStyle w:val="Heading2"/>
        <w:bidi/>
        <w:jc w:val="right"/>
      </w:pPr>
      <w:r>
        <w:rPr>
          <w:rtl/>
        </w:rPr>
        <w:t xml:space="preserve">3. مؤشرات الأداء المالي الأساسية (Key Financial Indicators)</w:t>
      </w:r>
    </w:p>
    <w:p>
      <w:pPr>
        <w:pStyle w:val="ListParagraph"/>
        <w:numPr>
          <w:ilvl w:val="0"/>
          <w:numId w:val="3"/>
        </w:numPr>
        <w:bidi/>
        <w:spacing w:after="60"/>
        <w:jc w:val="right"/>
      </w:pPr>
      <w:r>
        <w:rPr>
          <w:rtl/>
        </w:rPr>
        <w:t xml:space="preserve">نقطة التعادل (Break-Even Point): يُتوقع الوصول إليها خلال 6 إلى 10 أشهر من الإطلاق الفعلي، شرط بلوغ المنصة 25 حرفياً نشطاً على الأقل و3 شراكات مؤسسية.</w:t>
      </w:r>
    </w:p>
    <w:p>
      <w:pPr>
        <w:pStyle w:val="ListParagraph"/>
        <w:numPr>
          <w:ilvl w:val="0"/>
          <w:numId w:val="3"/>
        </w:numPr>
        <w:bidi/>
        <w:spacing w:after="60"/>
        <w:jc w:val="right"/>
      </w:pPr>
      <w:r>
        <w:rPr>
          <w:rtl/>
        </w:rPr>
        <w:t xml:space="preserve">متوسط قيمة الطلب (Average Order Value - AOV): يُقدّر بين 2,500 و6,000 دج للمنتج التقليدي الواحد، وهو ما يحدد حجم العمولة الفعلية المحققة لكل عملية بيع.</w:t>
      </w:r>
    </w:p>
    <w:p>
      <w:pPr>
        <w:pStyle w:val="ListParagraph"/>
        <w:numPr>
          <w:ilvl w:val="0"/>
          <w:numId w:val="3"/>
        </w:numPr>
        <w:bidi/>
        <w:spacing w:after="60"/>
        <w:jc w:val="right"/>
      </w:pPr>
      <w:r>
        <w:rPr>
          <w:rtl/>
        </w:rPr>
        <w:t xml:space="preserve">معدل الاحتفاظ بالحرفيين (Artisan Retention Rate): مؤشر أساسي لقياس مدى رضا الحرفيين عن نسبة العمولة وجدوى انضمامهم، ويُفضل أن يبقى أعلى من 80% سنوياً.</w:t>
      </w:r>
    </w:p>
    <w:p>
      <w:pPr>
        <w:pStyle w:val="ListParagraph"/>
        <w:numPr>
          <w:ilvl w:val="0"/>
          <w:numId w:val="3"/>
        </w:numPr>
        <w:bidi/>
        <w:spacing w:after="60"/>
        <w:jc w:val="right"/>
      </w:pPr>
      <w:r>
        <w:rPr>
          <w:rtl/>
        </w:rPr>
        <w:t xml:space="preserve">تكلفة اكتساب العميل (Customer Acquisition Cost - CAC): يُقارن بميزانية التسويق الرقمي الشهرية مقابل عدد السياح/الزبائن الجدد المتحصل عليهم عبر المنصة.</w:t>
      </w:r>
    </w:p>
    <w:p>
      <w:pPr>
        <w:pStyle w:val="ListParagraph"/>
        <w:numPr>
          <w:ilvl w:val="0"/>
          <w:numId w:val="3"/>
        </w:numPr>
        <w:bidi/>
        <w:spacing w:after="60"/>
        <w:jc w:val="right"/>
      </w:pPr>
      <w:r>
        <w:rPr>
          <w:rtl/>
        </w:rPr>
        <w:t xml:space="preserve">هامش الربح الإجمالي (Gross Margin): يُحتسب من إيرادات العمولات والتجارب مطروحاً منها التكاليف التشغيلية المباشرة، ويُستخدم كمؤشر لقابلية التوسع (Scalability).</w:t>
      </w:r>
    </w:p>
    <w:p>
      <w:pPr>
        <w:pStyle w:val="Heading2"/>
        <w:bidi/>
        <w:jc w:val="right"/>
      </w:pPr>
      <w:r>
        <w:rPr>
          <w:rtl/>
        </w:rPr>
        <w:t xml:space="preserve">4. تحليل المخاطر المالية وسبل التخفيف منها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bidi/>
              <w:jc w:val="center"/>
            </w:pPr>
            <w:r>
              <w:rPr>
                <w:b/>
                <w:bCs/>
                <w:color w:val="FFFFFF"/>
                <w:rtl/>
              </w:rPr>
              <w:t xml:space="preserve">إجراء التخفيف المقترح</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bidi/>
              <w:jc w:val="center"/>
            </w:pPr>
            <w:r>
              <w:rPr>
                <w:b/>
                <w:bCs/>
                <w:color w:val="FFFFFF"/>
                <w:rtl/>
              </w:rPr>
              <w:t xml:space="preserve">المخطر المالي</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تنويع مصادر الدخل (5 نماذج بدل الاعتماد على واحد فقط) لتفادي التذبذب الموسمي</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الموسمية الحادة للسياحة في تيميمون (تراجع الطلب صيفاً)</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اعتماد عمولة تصاعدية منخفضة في البداية (5%) مع تعويضها عبر حجم المبيعات</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مقاومة الحرفيين لدفع العمولات أو رفع أسعارهم لتعويضها</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الاعتماد على بنية تقنية خفيفة (PWA + نظام خبير محلي بدون APIs مدفوعة) لتقليل التكاليف الثابتة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ارتفاع تكاليف الاستضافة والتطوير عن المتوقع</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بناء شراكات تأسيسية مع 2-3 فنادق وجمعيات سياحية قبل الإطلاق الرسمي لضمان قاعدة عملاء أولية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ضعف الوعي السياحي بالمنصة في مرحلة الانطلاق</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تفعيل بوابات دفع محلية (البطاقة الذهبية) موازاة مع الدفع النقدي عند التسليم (COD) لمرحلة انتقالية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b w:val="false"/>
                <w:bCs w:val="false"/>
                <w:rtl/>
              </w:rPr>
              <w:t xml:space="preserve">محدودية وسائل الدفع الإلكتروني الدولي في الجزائر</w:t>
            </w:r>
          </w:p>
        </w:tc>
      </w:tr>
    </w:tbl>
    <w:p>
      <w:pPr>
        <w:spacing w:after="160"/>
      </w:pPr>
    </w:p>
    <w:p>
      <w:pPr>
        <w:pStyle w:val="Heading2"/>
        <w:bidi/>
        <w:jc w:val="right"/>
      </w:pPr>
      <w:r>
        <w:rPr>
          <w:rtl/>
        </w:rPr>
        <w:t xml:space="preserve">5. مصادر التمويل التكميلية المقترحة (Funding &amp; Support Pathways)</w:t>
      </w:r>
    </w:p>
    <w:p>
      <w:pPr>
        <w:bidi/>
        <w:spacing w:after="120"/>
        <w:jc w:val="right"/>
      </w:pPr>
      <w:r>
        <w:rPr>
          <w:rtl/>
        </w:rPr>
        <w:t xml:space="preserve">بالإضافة إلى الإيرادات الذاتية، يمكن للمشروع الاستفادة من قنوات الدعم والتمويل المتاحة للمشاريع الناشئة في الجزائر، بما يخفف الضغط المالي خلال مرحلة الانطلاق:</w:t>
      </w:r>
    </w:p>
    <w:p>
      <w:pPr>
        <w:pStyle w:val="ListParagraph"/>
        <w:numPr>
          <w:ilvl w:val="0"/>
          <w:numId w:val="3"/>
        </w:numPr>
        <w:bidi/>
        <w:spacing w:after="60"/>
        <w:jc w:val="right"/>
      </w:pPr>
      <w:r>
        <w:rPr>
          <w:rtl/>
        </w:rPr>
        <w:t xml:space="preserve">برامج دعم ريادة الأعمال الشبابية (ANADE سابقاً ANSEJ، CNAC) للحصول على تمويل التجهيزات التقنية الأولية.</w:t>
      </w:r>
    </w:p>
    <w:p>
      <w:pPr>
        <w:pStyle w:val="ListParagraph"/>
        <w:numPr>
          <w:ilvl w:val="0"/>
          <w:numId w:val="3"/>
        </w:numPr>
        <w:bidi/>
        <w:spacing w:after="60"/>
        <w:jc w:val="right"/>
      </w:pPr>
      <w:r>
        <w:rPr>
          <w:rtl/>
        </w:rPr>
        <w:t xml:space="preserve">حاضنات الأعمال التقنية (Incubators) التي توفر مرافقة تقنية وقانونية، وقد تربط المشروع بشبكات تمويل أو منافسات ريادية.</w:t>
      </w:r>
    </w:p>
    <w:p>
      <w:pPr>
        <w:pStyle w:val="ListParagraph"/>
        <w:numPr>
          <w:ilvl w:val="0"/>
          <w:numId w:val="3"/>
        </w:numPr>
        <w:bidi/>
        <w:spacing w:after="60"/>
        <w:jc w:val="right"/>
      </w:pPr>
      <w:r>
        <w:rPr>
          <w:rtl/>
        </w:rPr>
        <w:t xml:space="preserve">برامج دعم المنظمات الدولية (مثل UNDP) المهتمة بمشاريع التراث والتنمية المحلية المستدامة، خصوصاً في الجنوب الجزائري.</w:t>
      </w:r>
    </w:p>
    <w:p>
      <w:pPr>
        <w:pStyle w:val="ListParagraph"/>
        <w:numPr>
          <w:ilvl w:val="0"/>
          <w:numId w:val="3"/>
        </w:numPr>
        <w:bidi/>
        <w:spacing w:after="60"/>
        <w:jc w:val="right"/>
      </w:pPr>
      <w:r>
        <w:rPr>
          <w:rtl/>
        </w:rPr>
        <w:t xml:space="preserve">التمويل التشاركي (Crowdfunding) عبر منصات محلية أو دولية، باستهداف الجالية الجزائرية في الخارج المهتمة بدعم التراث الصحراوي.</w:t>
      </w:r>
    </w:p>
    <w:p>
      <w:pPr>
        <w:spacing w:before="200"/>
      </w:pPr>
    </w:p>
    <w:p>
      <w:pPr>
        <w:pStyle w:val="Heading1"/>
        <w:bidi/>
        <w:jc w:val="right"/>
      </w:pPr>
      <w:r>
        <w:rPr>
          <w:rtl/>
        </w:rPr>
        <w:t xml:space="preserve">خلاصة</w:t>
      </w:r>
    </w:p>
    <w:p>
      <w:pPr>
        <w:bidi/>
        <w:spacing w:after="120"/>
        <w:jc w:val="right"/>
      </w:pPr>
      <w:r>
        <w:rPr>
          <w:i/>
          <w:iCs/>
          <w:rtl/>
        </w:rPr>
        <w:t xml:space="preserve">يقدم نموذج العمل المقترح لمنصة “الواحة الحمراء” توازناً بين خمسة مصادر دخل متكاملة (العمولات، الترويج المدفوع، التجارب الثقافية، B2B، والشراكات)، مما يمنح المشروع مرونة مالية تحميه من التذبذبات الموسمية المعروفة في القطاع السياحي بمنطقة تيميمون. ومع هيكل تكاليف تشغيلية خفيف يعتمد على حلول تقنية اقتصادية (PWA، نظام خبير محلي)، يصبح الوصول إلى نقطة التعادل خلال السنة الأولى هدفاً واقعياً وقابلاً للتحقيق، بما يؤهل المشروع للانتقال من مرحلة “النموذج الأكاديمي” إلى مرحلة “المشروع الريادي القابل للتمويل” أمام الحاضنات وصناديق الدعم.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abstractNum w:abstractNumId="3" w15:restartNumberingAfterBreak="0">
    <w:multiLevelType w:val="hybridMultilevel"/>
    <w:lvl w:ilvl="0" w15:tentative="1">
      <w:start w:val="1"/>
      <w:numFmt w:val="decimal"/>
      <w:lvlText w:val="%1."/>
      <w:lvlJc w:val="right"/>
      <w:pPr>
        <w:bidi/>
        <w:ind w:right="720" w:hanging="360"/>
      </w:pPr>
    </w:lvl>
  </w:abstractNum>
  <w:abstractNum w:abstractNumId="4" w15:restartNumberingAfterBreak="0">
    <w:multiLevelType w:val="hybridMultilevel"/>
    <w:lvl w:ilvl="0" w15:tentative="1">
      <w:start w:val="1"/>
      <w:numFmt w:val="decimal"/>
      <w:lvlText w:val="%1."/>
      <w:lvlJc w:val="right"/>
      <w:pPr>
        <w:bidi/>
        <w:ind w:righ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320"/>
      <w:jc w:val="right"/>
      <w:outlineLvl w:val="0"/>
    </w:pPr>
    <w:rPr>
      <w:rFonts w:ascii="Calibri" w:cs="Calibri" w:eastAsia="Calibri" w:hAnsi="Calibri"/>
      <w:b/>
      <w:bCs/>
      <w:color w:val="C0392B"/>
      <w:sz w:val="32"/>
      <w:szCs w:val="32"/>
    </w:rPr>
  </w:style>
  <w:style w:type="paragraph" w:styleId="Heading2">
    <w:name w:val="Heading 2"/>
    <w:basedOn w:val="Normal"/>
    <w:next w:val="Normal"/>
    <w:qFormat/>
    <w:pPr>
      <w:bidi/>
      <w:spacing w:after="140" w:before="220"/>
      <w:jc w:val="right"/>
      <w:outlineLvl w:val="1"/>
    </w:pPr>
    <w:rPr>
      <w:rFonts w:ascii="Calibri" w:cs="Calibri" w:eastAsia="Calibri" w:hAnsi="Calibri"/>
      <w:b/>
      <w:bCs/>
      <w:color w:val="8B2E2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2026-06-13T23:18:45.368Z</dcterms:created>
  <dcterms:modified xsi:type="dcterms:W3CDTF">2026-06-13T23:18:45.393Z</dcterms:modified>
</cp:coreProperties>
</file>

<file path=docProps/custom.xml><?xml version="1.0" encoding="utf-8"?>
<Properties xmlns="http://schemas.openxmlformats.org/officeDocument/2006/custom-properties" xmlns:vt="http://schemas.openxmlformats.org/officeDocument/2006/docPropsVTypes"/>
</file>