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SkillBridge Africa Complete Business Report</w:t>
      </w:r>
    </w:p>
    <w:p>
      <w:pPr>
        <w:jc w:val="center"/>
      </w:pPr>
      <w:r>
        <w:t>A Digital Freelance Marketplace Connecting Botswana’s Tertiary Students with Businesses</w:t>
      </w:r>
    </w:p>
    <w:p>
      <w:pPr>
        <w:pStyle w:val="Heading1"/>
      </w:pPr>
      <w:r>
        <w:t>1. Executive Summary</w:t>
      </w:r>
    </w:p>
    <w:p>
      <w:r>
        <w:t>SkillBridge Africa is a student-focused digital freelance marketplace designed to connect verified tertiary students with businesses and individuals seeking affordable services. The platform addresses youth unemployment in Botswana by enabling students to monetise their skills while helping SMEs access affordable and reliable talent.</w:t>
      </w:r>
    </w:p>
    <w:p>
      <w:pPr>
        <w:pStyle w:val="Heading1"/>
      </w:pPr>
      <w:r>
        <w:t>2. Business Model Canvas (BMC)</w:t>
      </w:r>
    </w:p>
    <w:tbl>
      <w:tblPr>
        <w:tblStyle w:val="TableGrid"/>
        <w:tblW w:type="auto" w:w="0"/>
        <w:tblLook w:firstColumn="1" w:firstRow="1" w:lastColumn="0" w:lastRow="0" w:noHBand="0" w:noVBand="1" w:val="04A0"/>
      </w:tblPr>
      <w:tblGrid>
        <w:gridCol w:w="4320"/>
        <w:gridCol w:w="4320"/>
      </w:tblGrid>
      <w:tr>
        <w:tc>
          <w:tcPr>
            <w:tcW w:type="dxa" w:w="4320"/>
          </w:tcPr>
          <w:p>
            <w:r>
              <w:t>BMC Block</w:t>
            </w:r>
          </w:p>
        </w:tc>
        <w:tc>
          <w:tcPr>
            <w:tcW w:type="dxa" w:w="4320"/>
          </w:tcPr>
          <w:p>
            <w:r>
              <w:t>Description</w:t>
            </w:r>
          </w:p>
        </w:tc>
      </w:tr>
      <w:tr>
        <w:tc>
          <w:tcPr>
            <w:tcW w:type="dxa" w:w="4320"/>
          </w:tcPr>
          <w:p>
            <w:r>
              <w:t>Customer Segments</w:t>
            </w:r>
          </w:p>
        </w:tc>
        <w:tc>
          <w:tcPr>
            <w:tcW w:type="dxa" w:w="4320"/>
          </w:tcPr>
          <w:p>
            <w:r>
              <w:t>Students, SMEs, startups, individuals, campus organisations.</w:t>
            </w:r>
          </w:p>
        </w:tc>
      </w:tr>
      <w:tr>
        <w:tc>
          <w:tcPr>
            <w:tcW w:type="dxa" w:w="4320"/>
          </w:tcPr>
          <w:p>
            <w:r>
              <w:t>Value Propositions</w:t>
            </w:r>
          </w:p>
        </w:tc>
        <w:tc>
          <w:tcPr>
            <w:tcW w:type="dxa" w:w="4320"/>
          </w:tcPr>
          <w:p>
            <w:r>
              <w:t>Verified freelancers, local payment systems, escrow protection, affordable services.</w:t>
            </w:r>
          </w:p>
        </w:tc>
      </w:tr>
      <w:tr>
        <w:tc>
          <w:tcPr>
            <w:tcW w:type="dxa" w:w="4320"/>
          </w:tcPr>
          <w:p>
            <w:r>
              <w:t>Channels</w:t>
            </w:r>
          </w:p>
        </w:tc>
        <w:tc>
          <w:tcPr>
            <w:tcW w:type="dxa" w:w="4320"/>
          </w:tcPr>
          <w:p>
            <w:r>
              <w:t>Website, mobile app, social media, WhatsApp Business, university partnerships.</w:t>
            </w:r>
          </w:p>
        </w:tc>
      </w:tr>
      <w:tr>
        <w:tc>
          <w:tcPr>
            <w:tcW w:type="dxa" w:w="4320"/>
          </w:tcPr>
          <w:p>
            <w:r>
              <w:t>Customer Relationships</w:t>
            </w:r>
          </w:p>
        </w:tc>
        <w:tc>
          <w:tcPr>
            <w:tcW w:type="dxa" w:w="4320"/>
          </w:tcPr>
          <w:p>
            <w:r>
              <w:t>Reviews, support systems, smart matchmaking, loyalty rewards.</w:t>
            </w:r>
          </w:p>
        </w:tc>
      </w:tr>
      <w:tr>
        <w:tc>
          <w:tcPr>
            <w:tcW w:type="dxa" w:w="4320"/>
          </w:tcPr>
          <w:p>
            <w:r>
              <w:t>Revenue Streams</w:t>
            </w:r>
          </w:p>
        </w:tc>
        <w:tc>
          <w:tcPr>
            <w:tcW w:type="dxa" w:w="4320"/>
          </w:tcPr>
          <w:p>
            <w:r>
              <w:t>10% commission, subscriptions, featured listings, advertisements.</w:t>
            </w:r>
          </w:p>
        </w:tc>
      </w:tr>
      <w:tr>
        <w:tc>
          <w:tcPr>
            <w:tcW w:type="dxa" w:w="4320"/>
          </w:tcPr>
          <w:p>
            <w:r>
              <w:t>Key Resources</w:t>
            </w:r>
          </w:p>
        </w:tc>
        <w:tc>
          <w:tcPr>
            <w:tcW w:type="dxa" w:w="4320"/>
          </w:tcPr>
          <w:p>
            <w:r>
              <w:t>Developers, cloud hosting, payment systems, platform technology.</w:t>
            </w:r>
          </w:p>
        </w:tc>
      </w:tr>
      <w:tr>
        <w:tc>
          <w:tcPr>
            <w:tcW w:type="dxa" w:w="4320"/>
          </w:tcPr>
          <w:p>
            <w:r>
              <w:t>Key Activities</w:t>
            </w:r>
          </w:p>
        </w:tc>
        <w:tc>
          <w:tcPr>
            <w:tcW w:type="dxa" w:w="4320"/>
          </w:tcPr>
          <w:p>
            <w:r>
              <w:t>Platform development, onboarding, marketing, customer support.</w:t>
            </w:r>
          </w:p>
        </w:tc>
      </w:tr>
      <w:tr>
        <w:tc>
          <w:tcPr>
            <w:tcW w:type="dxa" w:w="4320"/>
          </w:tcPr>
          <w:p>
            <w:r>
              <w:t>Key Partnerships</w:t>
            </w:r>
          </w:p>
        </w:tc>
        <w:tc>
          <w:tcPr>
            <w:tcW w:type="dxa" w:w="4320"/>
          </w:tcPr>
          <w:p>
            <w:r>
              <w:t>Universities, payment providers, BOCRA, SMEs, cloud hosting providers.</w:t>
            </w:r>
          </w:p>
        </w:tc>
      </w:tr>
      <w:tr>
        <w:tc>
          <w:tcPr>
            <w:tcW w:type="dxa" w:w="4320"/>
          </w:tcPr>
          <w:p>
            <w:r>
              <w:t>Cost Structure</w:t>
            </w:r>
          </w:p>
        </w:tc>
        <w:tc>
          <w:tcPr>
            <w:tcW w:type="dxa" w:w="4320"/>
          </w:tcPr>
          <w:p>
            <w:r>
              <w:t>Hosting, marketing, salaries, maintenance, compliance costs.</w:t>
            </w:r>
          </w:p>
        </w:tc>
      </w:tr>
    </w:tbl>
    <w:p>
      <w:pPr>
        <w:pStyle w:val="Heading1"/>
      </w:pPr>
      <w:r>
        <w:t>3. SMART Objectives</w:t>
      </w:r>
    </w:p>
    <w:p>
      <w:pPr>
        <w:pStyle w:val="ListBullet"/>
      </w:pPr>
      <w:r>
        <w:t>Acquire 500 registered student freelancers within the first 12 months.</w:t>
      </w:r>
    </w:p>
    <w:p>
      <w:pPr>
        <w:pStyle w:val="ListBullet"/>
      </w:pPr>
      <w:r>
        <w:t>Achieve 300 active monthly users by the end of Year 1.</w:t>
      </w:r>
    </w:p>
    <w:p>
      <w:pPr>
        <w:pStyle w:val="ListBullet"/>
      </w:pPr>
      <w:r>
        <w:t>Generate BWP 120,000 revenue within the first 18 months.</w:t>
      </w:r>
    </w:p>
    <w:p>
      <w:pPr>
        <w:pStyle w:val="ListBullet"/>
      </w:pPr>
      <w:r>
        <w:t>Partner with 5 tertiary institutions within 2 years.</w:t>
      </w:r>
    </w:p>
    <w:p>
      <w:pPr>
        <w:pStyle w:val="ListBullet"/>
      </w:pPr>
      <w:r>
        <w:t>Expand to 2 African countries within 5 years.</w:t>
      </w:r>
    </w:p>
    <w:p>
      <w:pPr>
        <w:pStyle w:val="Heading1"/>
      </w:pPr>
      <w:r>
        <w:t>4. Financial Analysis</w:t>
      </w:r>
    </w:p>
    <w:p>
      <w:pPr>
        <w:pStyle w:val="Heading2"/>
      </w:pPr>
      <w:r>
        <w:t>4.1 Financial Assumptions</w:t>
      </w:r>
    </w:p>
    <w:tbl>
      <w:tblPr>
        <w:tblStyle w:val="TableGrid"/>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Value</w:t>
            </w:r>
          </w:p>
        </w:tc>
        <w:tc>
          <w:tcPr>
            <w:tcW w:type="dxa" w:w="2880"/>
          </w:tcPr>
          <w:p>
            <w:r>
              <w:t>Justification</w:t>
            </w:r>
          </w:p>
        </w:tc>
      </w:tr>
      <w:tr>
        <w:tc>
          <w:tcPr>
            <w:tcW w:type="dxa" w:w="2880"/>
          </w:tcPr>
          <w:p>
            <w:r>
              <w:t>Starting users</w:t>
            </w:r>
          </w:p>
        </w:tc>
        <w:tc>
          <w:tcPr>
            <w:tcW w:type="dxa" w:w="2880"/>
          </w:tcPr>
          <w:p>
            <w:r>
              <w:t>35 users</w:t>
            </w:r>
          </w:p>
        </w:tc>
        <w:tc>
          <w:tcPr>
            <w:tcW w:type="dxa" w:w="2880"/>
          </w:tcPr>
          <w:p>
            <w:r>
              <w:t>Based on launch campaign</w:t>
            </w:r>
          </w:p>
        </w:tc>
      </w:tr>
      <w:tr>
        <w:tc>
          <w:tcPr>
            <w:tcW w:type="dxa" w:w="2880"/>
          </w:tcPr>
          <w:p>
            <w:r>
              <w:t>Average transaction value</w:t>
            </w:r>
          </w:p>
        </w:tc>
        <w:tc>
          <w:tcPr>
            <w:tcW w:type="dxa" w:w="2880"/>
          </w:tcPr>
          <w:p>
            <w:r>
              <w:t>BWP 300</w:t>
            </w:r>
          </w:p>
        </w:tc>
        <w:tc>
          <w:tcPr>
            <w:tcW w:type="dxa" w:w="2880"/>
          </w:tcPr>
          <w:p>
            <w:r>
              <w:t>Affordable student services</w:t>
            </w:r>
          </w:p>
        </w:tc>
      </w:tr>
      <w:tr>
        <w:tc>
          <w:tcPr>
            <w:tcW w:type="dxa" w:w="2880"/>
          </w:tcPr>
          <w:p>
            <w:r>
              <w:t>Commission rate</w:t>
            </w:r>
          </w:p>
        </w:tc>
        <w:tc>
          <w:tcPr>
            <w:tcW w:type="dxa" w:w="2880"/>
          </w:tcPr>
          <w:p>
            <w:r>
              <w:t>10%</w:t>
            </w:r>
          </w:p>
        </w:tc>
        <w:tc>
          <w:tcPr>
            <w:tcW w:type="dxa" w:w="2880"/>
          </w:tcPr>
          <w:p>
            <w:r>
              <w:t>Competitive against Fiverr and Upwork</w:t>
            </w:r>
          </w:p>
        </w:tc>
      </w:tr>
      <w:tr>
        <w:tc>
          <w:tcPr>
            <w:tcW w:type="dxa" w:w="2880"/>
          </w:tcPr>
          <w:p>
            <w:r>
              <w:t>Startup costs</w:t>
            </w:r>
          </w:p>
        </w:tc>
        <w:tc>
          <w:tcPr>
            <w:tcW w:type="dxa" w:w="2880"/>
          </w:tcPr>
          <w:p>
            <w:r>
              <w:t>BWP 4,600</w:t>
            </w:r>
          </w:p>
        </w:tc>
        <w:tc>
          <w:tcPr>
            <w:tcW w:type="dxa" w:w="2880"/>
          </w:tcPr>
          <w:p>
            <w:r>
              <w:t>Hosting, legal, marketing</w:t>
            </w:r>
          </w:p>
        </w:tc>
      </w:tr>
    </w:tbl>
    <w:p>
      <w:pPr>
        <w:pStyle w:val="Heading2"/>
      </w:pPr>
      <w:r>
        <w:t>4.2 Cash Flow Projection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Month</w:t>
            </w:r>
          </w:p>
        </w:tc>
        <w:tc>
          <w:tcPr>
            <w:tcW w:type="dxa" w:w="2160"/>
          </w:tcPr>
          <w:p>
            <w:r>
              <w:t>Cash In</w:t>
            </w:r>
          </w:p>
        </w:tc>
        <w:tc>
          <w:tcPr>
            <w:tcW w:type="dxa" w:w="2160"/>
          </w:tcPr>
          <w:p>
            <w:r>
              <w:t>Cash Out</w:t>
            </w:r>
          </w:p>
        </w:tc>
        <w:tc>
          <w:tcPr>
            <w:tcW w:type="dxa" w:w="2160"/>
          </w:tcPr>
          <w:p>
            <w:r>
              <w:t>Net Cash Flow</w:t>
            </w:r>
          </w:p>
        </w:tc>
      </w:tr>
      <w:tr>
        <w:tc>
          <w:tcPr>
            <w:tcW w:type="dxa" w:w="2160"/>
          </w:tcPr>
          <w:p>
            <w:r>
              <w:t>Month 1</w:t>
            </w:r>
          </w:p>
        </w:tc>
        <w:tc>
          <w:tcPr>
            <w:tcW w:type="dxa" w:w="2160"/>
          </w:tcPr>
          <w:p>
            <w:r>
              <w:t>1,750</w:t>
            </w:r>
          </w:p>
        </w:tc>
        <w:tc>
          <w:tcPr>
            <w:tcW w:type="dxa" w:w="2160"/>
          </w:tcPr>
          <w:p>
            <w:r>
              <w:t>780</w:t>
            </w:r>
          </w:p>
        </w:tc>
        <w:tc>
          <w:tcPr>
            <w:tcW w:type="dxa" w:w="2160"/>
          </w:tcPr>
          <w:p>
            <w:r>
              <w:t>+970</w:t>
            </w:r>
          </w:p>
        </w:tc>
      </w:tr>
      <w:tr>
        <w:tc>
          <w:tcPr>
            <w:tcW w:type="dxa" w:w="2160"/>
          </w:tcPr>
          <w:p>
            <w:r>
              <w:t>Month 2</w:t>
            </w:r>
          </w:p>
        </w:tc>
        <w:tc>
          <w:tcPr>
            <w:tcW w:type="dxa" w:w="2160"/>
          </w:tcPr>
          <w:p>
            <w:r>
              <w:t>3,200</w:t>
            </w:r>
          </w:p>
        </w:tc>
        <w:tc>
          <w:tcPr>
            <w:tcW w:type="dxa" w:w="2160"/>
          </w:tcPr>
          <w:p>
            <w:r>
              <w:t>804</w:t>
            </w:r>
          </w:p>
        </w:tc>
        <w:tc>
          <w:tcPr>
            <w:tcW w:type="dxa" w:w="2160"/>
          </w:tcPr>
          <w:p>
            <w:r>
              <w:t>+2,396</w:t>
            </w:r>
          </w:p>
        </w:tc>
      </w:tr>
      <w:tr>
        <w:tc>
          <w:tcPr>
            <w:tcW w:type="dxa" w:w="2160"/>
          </w:tcPr>
          <w:p>
            <w:r>
              <w:t>Month 3</w:t>
            </w:r>
          </w:p>
        </w:tc>
        <w:tc>
          <w:tcPr>
            <w:tcW w:type="dxa" w:w="2160"/>
          </w:tcPr>
          <w:p>
            <w:r>
              <w:t>4,350</w:t>
            </w:r>
          </w:p>
        </w:tc>
        <w:tc>
          <w:tcPr>
            <w:tcW w:type="dxa" w:w="2160"/>
          </w:tcPr>
          <w:p>
            <w:r>
              <w:t>722</w:t>
            </w:r>
          </w:p>
        </w:tc>
        <w:tc>
          <w:tcPr>
            <w:tcW w:type="dxa" w:w="2160"/>
          </w:tcPr>
          <w:p>
            <w:r>
              <w:t>+3,628</w:t>
            </w:r>
          </w:p>
        </w:tc>
      </w:tr>
    </w:tbl>
    <w:p>
      <w:pPr>
        <w:pStyle w:val="Heading2"/>
      </w:pPr>
      <w:r>
        <w:t>4.3 Breakeven Analysis</w:t>
      </w:r>
    </w:p>
    <w:p>
      <w:r>
        <w:t>SkillBridge Africa needs approximately 27 successful transactions per month to cover operating costs. The business is projected to break even in Month 2.</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Fixed Monthly Costs</w:t>
            </w:r>
          </w:p>
        </w:tc>
        <w:tc>
          <w:tcPr>
            <w:tcW w:type="dxa" w:w="4320"/>
          </w:tcPr>
          <w:p>
            <w:r>
              <w:t>BWP 800</w:t>
            </w:r>
          </w:p>
        </w:tc>
      </w:tr>
      <w:tr>
        <w:tc>
          <w:tcPr>
            <w:tcW w:type="dxa" w:w="4320"/>
          </w:tcPr>
          <w:p>
            <w:r>
              <w:t>Commission Per Transaction</w:t>
            </w:r>
          </w:p>
        </w:tc>
        <w:tc>
          <w:tcPr>
            <w:tcW w:type="dxa" w:w="4320"/>
          </w:tcPr>
          <w:p>
            <w:r>
              <w:t>BWP 30</w:t>
            </w:r>
          </w:p>
        </w:tc>
      </w:tr>
      <w:tr>
        <w:tc>
          <w:tcPr>
            <w:tcW w:type="dxa" w:w="4320"/>
          </w:tcPr>
          <w:p>
            <w:r>
              <w:t>Breakeven Transactions</w:t>
            </w:r>
          </w:p>
        </w:tc>
        <w:tc>
          <w:tcPr>
            <w:tcW w:type="dxa" w:w="4320"/>
          </w:tcPr>
          <w:p>
            <w:r>
              <w:t>27</w:t>
            </w:r>
          </w:p>
        </w:tc>
      </w:tr>
      <w:tr>
        <w:tc>
          <w:tcPr>
            <w:tcW w:type="dxa" w:w="4320"/>
          </w:tcPr>
          <w:p>
            <w:r>
              <w:t>Projected Breakeven Month</w:t>
            </w:r>
          </w:p>
        </w:tc>
        <w:tc>
          <w:tcPr>
            <w:tcW w:type="dxa" w:w="4320"/>
          </w:tcPr>
          <w:p>
            <w:r>
              <w:t>Month 2</w:t>
            </w:r>
          </w:p>
        </w:tc>
      </w:tr>
    </w:tbl>
    <w:p>
      <w:pPr>
        <w:pStyle w:val="Heading1"/>
      </w:pPr>
      <w:r>
        <w:t>5. Risk Analysis &amp; Mitigation</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Low user adoption</w:t>
            </w:r>
          </w:p>
        </w:tc>
        <w:tc>
          <w:tcPr>
            <w:tcW w:type="dxa" w:w="2880"/>
          </w:tcPr>
          <w:p>
            <w:r>
              <w:t>High</w:t>
            </w:r>
          </w:p>
        </w:tc>
        <w:tc>
          <w:tcPr>
            <w:tcW w:type="dxa" w:w="2880"/>
          </w:tcPr>
          <w:p>
            <w:r>
              <w:t>University partnerships and marketing</w:t>
            </w:r>
          </w:p>
        </w:tc>
      </w:tr>
      <w:tr>
        <w:tc>
          <w:tcPr>
            <w:tcW w:type="dxa" w:w="2880"/>
          </w:tcPr>
          <w:p>
            <w:r>
              <w:t>Payment fraud</w:t>
            </w:r>
          </w:p>
        </w:tc>
        <w:tc>
          <w:tcPr>
            <w:tcW w:type="dxa" w:w="2880"/>
          </w:tcPr>
          <w:p>
            <w:r>
              <w:t>High</w:t>
            </w:r>
          </w:p>
        </w:tc>
        <w:tc>
          <w:tcPr>
            <w:tcW w:type="dxa" w:w="2880"/>
          </w:tcPr>
          <w:p>
            <w:r>
              <w:t>Escrow and verification systems</w:t>
            </w:r>
          </w:p>
        </w:tc>
      </w:tr>
      <w:tr>
        <w:tc>
          <w:tcPr>
            <w:tcW w:type="dxa" w:w="2880"/>
          </w:tcPr>
          <w:p>
            <w:r>
              <w:t>Competition</w:t>
            </w:r>
          </w:p>
        </w:tc>
        <w:tc>
          <w:tcPr>
            <w:tcW w:type="dxa" w:w="2880"/>
          </w:tcPr>
          <w:p>
            <w:r>
              <w:t>Medium</w:t>
            </w:r>
          </w:p>
        </w:tc>
        <w:tc>
          <w:tcPr>
            <w:tcW w:type="dxa" w:w="2880"/>
          </w:tcPr>
          <w:p>
            <w:r>
              <w:t>Local market focus</w:t>
            </w:r>
          </w:p>
        </w:tc>
      </w:tr>
      <w:tr>
        <w:tc>
          <w:tcPr>
            <w:tcW w:type="dxa" w:w="2880"/>
          </w:tcPr>
          <w:p>
            <w:r>
              <w:t>Data security risks</w:t>
            </w:r>
          </w:p>
        </w:tc>
        <w:tc>
          <w:tcPr>
            <w:tcW w:type="dxa" w:w="2880"/>
          </w:tcPr>
          <w:p>
            <w:r>
              <w:t>High</w:t>
            </w:r>
          </w:p>
        </w:tc>
        <w:tc>
          <w:tcPr>
            <w:tcW w:type="dxa" w:w="2880"/>
          </w:tcPr>
          <w:p>
            <w:r>
              <w:t>Encryption and secure hosting</w:t>
            </w:r>
          </w:p>
        </w:tc>
      </w:tr>
    </w:tbl>
    <w:p>
      <w:pPr>
        <w:pStyle w:val="Heading1"/>
      </w:pPr>
      <w:r>
        <w:t>6. Conclusion</w:t>
      </w:r>
    </w:p>
    <w:p>
      <w:r>
        <w:t>SkillBridge Africa is financially sustainable, scalable, and aligned with Botswana’s youth empowerment and digital transformation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