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096A6" w14:textId="77777777" w:rsidR="00FC68D5" w:rsidRDefault="00000000">
      <w:pPr>
        <w:jc w:val="center"/>
        <w:rPr>
          <w:sz w:val="28"/>
          <w:szCs w:val="28"/>
        </w:rPr>
      </w:pPr>
      <w:r>
        <w:rPr>
          <w:noProof/>
        </w:rPr>
        <w:drawing>
          <wp:inline distT="0" distB="0" distL="0" distR="0" wp14:anchorId="78BD8C9A" wp14:editId="1AC7EEBA">
            <wp:extent cx="2000250" cy="4762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00250" cy="476250"/>
                    </a:xfrm>
                    <a:prstGeom prst="rect">
                      <a:avLst/>
                    </a:prstGeom>
                  </pic:spPr>
                </pic:pic>
              </a:graphicData>
            </a:graphic>
          </wp:inline>
        </w:drawing>
      </w:r>
      <w:r>
        <w:rPr>
          <w:sz w:val="28"/>
          <w:szCs w:val="28"/>
        </w:rPr>
        <w:t xml:space="preserve"> </w:t>
      </w:r>
    </w:p>
    <w:p w14:paraId="31903479" w14:textId="77777777" w:rsidR="00FC68D5" w:rsidRDefault="00FC68D5">
      <w:pPr>
        <w:rPr>
          <w:sz w:val="28"/>
          <w:szCs w:val="28"/>
        </w:rPr>
      </w:pPr>
    </w:p>
    <w:p w14:paraId="0439DB74" w14:textId="18E9DC41" w:rsidR="00FC68D5" w:rsidRDefault="00000000">
      <w:pPr>
        <w:rPr>
          <w:sz w:val="28"/>
          <w:szCs w:val="28"/>
        </w:rPr>
      </w:pPr>
      <w:r>
        <w:rPr>
          <w:sz w:val="28"/>
          <w:szCs w:val="28"/>
        </w:rPr>
        <w:t>Capstone Project Plan</w:t>
      </w:r>
    </w:p>
    <w:p w14:paraId="3AA4AE48" w14:textId="77777777" w:rsidR="00FC68D5" w:rsidRDefault="00000000">
      <w:r>
        <w:t>Last updated: November 19, 2023</w:t>
      </w:r>
    </w:p>
    <w:p w14:paraId="5ABEE263" w14:textId="77777777" w:rsidR="00FC68D5" w:rsidRDefault="00FC68D5"/>
    <w:p w14:paraId="67FFCED2" w14:textId="77777777" w:rsidR="00FC68D5" w:rsidRDefault="00000000">
      <w:r>
        <w:rPr>
          <w:b/>
          <w:bCs/>
        </w:rPr>
        <w:t>Instructions</w:t>
      </w:r>
      <w:r>
        <w:t>: Each capstone team can use this template to capture and summarize information about the project. This can be shared with the sponsor and mentor. When submitting the plan during the course, a PDF file is preferable.</w:t>
      </w:r>
    </w:p>
    <w:p w14:paraId="5BAE4CD7" w14:textId="77777777" w:rsidR="00FC68D5" w:rsidRDefault="00000000">
      <w:r>
        <w:rPr>
          <w:noProof/>
        </w:rPr>
        <mc:AlternateContent>
          <mc:Choice Requires="wps">
            <w:drawing>
              <wp:inline distT="0" distB="0" distL="0" distR="0" wp14:anchorId="031E15F0" wp14:editId="343C4CCA">
                <wp:extent cx="5486400" cy="6350"/>
                <wp:effectExtent l="0" t="0" r="19050" b="31750"/>
                <wp:docPr id="2" name="Shape1"/>
                <wp:cNvGraphicFramePr/>
                <a:graphic xmlns:a="http://schemas.openxmlformats.org/drawingml/2006/main">
                  <a:graphicData uri="http://schemas.microsoft.com/office/word/2010/wordprocessingShape">
                    <wps:wsp>
                      <wps:cNvCn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scrgbClr r="0" g="0" b="0"/>
                        </a:effectRef>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14:paraId="68249372" w14:textId="618653E6" w:rsidR="00FC68D5" w:rsidRPr="00920404" w:rsidRDefault="00000000">
      <w:pPr>
        <w:rPr>
          <w:b/>
          <w:bCs/>
        </w:rPr>
      </w:pPr>
      <w:r>
        <w:rPr>
          <w:b/>
          <w:bCs/>
        </w:rPr>
        <w:t>Stakeholder Names and Roles</w:t>
      </w:r>
    </w:p>
    <w:tbl>
      <w:tblPr>
        <w:tblStyle w:val="TableGrid"/>
        <w:tblW w:w="9360" w:type="dxa"/>
        <w:tblLayout w:type="fixed"/>
        <w:tblLook w:val="06A0" w:firstRow="1" w:lastRow="0" w:firstColumn="1" w:lastColumn="0" w:noHBand="1" w:noVBand="1"/>
      </w:tblPr>
      <w:tblGrid>
        <w:gridCol w:w="1620"/>
        <w:gridCol w:w="7740"/>
      </w:tblGrid>
      <w:tr w:rsidR="00FC68D5" w14:paraId="231CA370" w14:textId="77777777">
        <w:trPr>
          <w:trHeight w:val="300"/>
        </w:trPr>
        <w:tc>
          <w:tcPr>
            <w:tcW w:w="1620" w:type="dxa"/>
          </w:tcPr>
          <w:p w14:paraId="5E3967B6" w14:textId="77777777" w:rsidR="00FC68D5" w:rsidRDefault="00000000">
            <w:pPr>
              <w:widowControl w:val="0"/>
              <w:spacing w:after="0" w:line="240" w:lineRule="auto"/>
              <w:rPr>
                <w:b/>
                <w:bCs/>
              </w:rPr>
            </w:pPr>
            <w:r>
              <w:rPr>
                <w:rFonts w:eastAsia="Calibri"/>
                <w:b/>
                <w:bCs/>
              </w:rPr>
              <w:t>Stakeholder</w:t>
            </w:r>
          </w:p>
        </w:tc>
        <w:tc>
          <w:tcPr>
            <w:tcW w:w="7739" w:type="dxa"/>
          </w:tcPr>
          <w:p w14:paraId="5B4C8F27" w14:textId="77777777" w:rsidR="00FC68D5" w:rsidRDefault="00000000">
            <w:pPr>
              <w:widowControl w:val="0"/>
              <w:spacing w:after="0"/>
              <w:rPr>
                <w:b/>
                <w:bCs/>
              </w:rPr>
            </w:pPr>
            <w:r>
              <w:rPr>
                <w:rFonts w:eastAsia="Calibri"/>
                <w:b/>
                <w:bCs/>
              </w:rPr>
              <w:t>Role</w:t>
            </w:r>
          </w:p>
        </w:tc>
      </w:tr>
      <w:tr w:rsidR="00FC68D5" w14:paraId="3A097062" w14:textId="77777777">
        <w:trPr>
          <w:trHeight w:val="300"/>
        </w:trPr>
        <w:tc>
          <w:tcPr>
            <w:tcW w:w="1620" w:type="dxa"/>
          </w:tcPr>
          <w:p w14:paraId="1CB6B21E" w14:textId="5331031F" w:rsidR="00FC68D5" w:rsidRDefault="00CC58B9">
            <w:pPr>
              <w:widowControl w:val="0"/>
              <w:spacing w:after="0" w:line="240" w:lineRule="auto"/>
              <w:rPr>
                <w:i/>
                <w:iCs/>
              </w:rPr>
            </w:pPr>
            <w:r>
              <w:rPr>
                <w:i/>
                <w:iCs/>
              </w:rPr>
              <w:t>Becky Desrosiers</w:t>
            </w:r>
          </w:p>
        </w:tc>
        <w:tc>
          <w:tcPr>
            <w:tcW w:w="7739" w:type="dxa"/>
          </w:tcPr>
          <w:p w14:paraId="27DBE5BE" w14:textId="0AAF3077" w:rsidR="00FC68D5" w:rsidRDefault="00000000">
            <w:pPr>
              <w:widowControl w:val="0"/>
              <w:spacing w:after="0" w:line="240" w:lineRule="auto"/>
              <w:rPr>
                <w:i/>
                <w:iCs/>
              </w:rPr>
            </w:pPr>
            <w:r>
              <w:rPr>
                <w:rFonts w:eastAsia="Calibri"/>
                <w:i/>
                <w:iCs/>
              </w:rPr>
              <w:t>Team membe</w:t>
            </w:r>
            <w:r w:rsidR="00CC58B9">
              <w:rPr>
                <w:rFonts w:eastAsia="Calibri"/>
                <w:i/>
                <w:iCs/>
              </w:rPr>
              <w:t>r</w:t>
            </w:r>
          </w:p>
        </w:tc>
      </w:tr>
      <w:tr w:rsidR="00CC58B9" w14:paraId="5E40D9D1" w14:textId="77777777">
        <w:trPr>
          <w:trHeight w:val="300"/>
        </w:trPr>
        <w:tc>
          <w:tcPr>
            <w:tcW w:w="1620" w:type="dxa"/>
          </w:tcPr>
          <w:p w14:paraId="77DF43B5" w14:textId="35809CBA" w:rsidR="00CC58B9" w:rsidRDefault="00CC58B9">
            <w:pPr>
              <w:widowControl w:val="0"/>
              <w:spacing w:after="0" w:line="240" w:lineRule="auto"/>
              <w:rPr>
                <w:rFonts w:eastAsia="Calibri"/>
                <w:i/>
                <w:iCs/>
              </w:rPr>
            </w:pPr>
            <w:r>
              <w:rPr>
                <w:rFonts w:eastAsia="Calibri"/>
                <w:i/>
                <w:iCs/>
              </w:rPr>
              <w:t>Abner Casillas-Colon</w:t>
            </w:r>
          </w:p>
        </w:tc>
        <w:tc>
          <w:tcPr>
            <w:tcW w:w="7739" w:type="dxa"/>
          </w:tcPr>
          <w:p w14:paraId="4B357E73" w14:textId="7DE30B96" w:rsidR="00CC58B9" w:rsidRDefault="00CC58B9">
            <w:pPr>
              <w:widowControl w:val="0"/>
              <w:spacing w:after="0" w:line="240" w:lineRule="auto"/>
              <w:rPr>
                <w:rFonts w:eastAsia="Calibri"/>
                <w:i/>
                <w:iCs/>
              </w:rPr>
            </w:pPr>
            <w:r>
              <w:rPr>
                <w:rFonts w:eastAsia="Calibri"/>
                <w:i/>
                <w:iCs/>
              </w:rPr>
              <w:t>Team member</w:t>
            </w:r>
          </w:p>
        </w:tc>
      </w:tr>
      <w:tr w:rsidR="00CC58B9" w14:paraId="48C3726A" w14:textId="77777777">
        <w:trPr>
          <w:trHeight w:val="300"/>
        </w:trPr>
        <w:tc>
          <w:tcPr>
            <w:tcW w:w="1620" w:type="dxa"/>
          </w:tcPr>
          <w:p w14:paraId="751770E4" w14:textId="205671EA" w:rsidR="00CC58B9" w:rsidRDefault="00CC58B9">
            <w:pPr>
              <w:widowControl w:val="0"/>
              <w:spacing w:after="0" w:line="240" w:lineRule="auto"/>
              <w:rPr>
                <w:rFonts w:eastAsia="Calibri"/>
                <w:i/>
                <w:iCs/>
              </w:rPr>
            </w:pPr>
            <w:r>
              <w:rPr>
                <w:rFonts w:eastAsia="Calibri"/>
                <w:i/>
                <w:iCs/>
              </w:rPr>
              <w:t>Naomi Ohashi</w:t>
            </w:r>
          </w:p>
        </w:tc>
        <w:tc>
          <w:tcPr>
            <w:tcW w:w="7739" w:type="dxa"/>
          </w:tcPr>
          <w:p w14:paraId="1F52DBB5" w14:textId="563D31F9" w:rsidR="00CC58B9" w:rsidRDefault="00CC58B9">
            <w:pPr>
              <w:widowControl w:val="0"/>
              <w:spacing w:after="0" w:line="240" w:lineRule="auto"/>
              <w:rPr>
                <w:rFonts w:eastAsia="Calibri"/>
                <w:i/>
                <w:iCs/>
              </w:rPr>
            </w:pPr>
            <w:r>
              <w:rPr>
                <w:rFonts w:eastAsia="Calibri"/>
                <w:i/>
                <w:iCs/>
              </w:rPr>
              <w:t>Team member</w:t>
            </w:r>
          </w:p>
        </w:tc>
      </w:tr>
      <w:tr w:rsidR="00CC58B9" w14:paraId="0BC3AD6C" w14:textId="77777777">
        <w:trPr>
          <w:trHeight w:val="300"/>
        </w:trPr>
        <w:tc>
          <w:tcPr>
            <w:tcW w:w="1620" w:type="dxa"/>
          </w:tcPr>
          <w:p w14:paraId="69C0EA8C" w14:textId="26477ED8" w:rsidR="00CC58B9" w:rsidRDefault="00CC58B9">
            <w:pPr>
              <w:widowControl w:val="0"/>
              <w:spacing w:after="0" w:line="240" w:lineRule="auto"/>
              <w:rPr>
                <w:rFonts w:eastAsia="Calibri"/>
                <w:i/>
                <w:iCs/>
              </w:rPr>
            </w:pPr>
            <w:r>
              <w:rPr>
                <w:rFonts w:eastAsia="Calibri"/>
                <w:i/>
                <w:iCs/>
              </w:rPr>
              <w:t>George Shoriz</w:t>
            </w:r>
          </w:p>
        </w:tc>
        <w:tc>
          <w:tcPr>
            <w:tcW w:w="7739" w:type="dxa"/>
          </w:tcPr>
          <w:p w14:paraId="28F2F592" w14:textId="08C83796" w:rsidR="00CC58B9" w:rsidRDefault="00CC58B9">
            <w:pPr>
              <w:widowControl w:val="0"/>
              <w:spacing w:after="0" w:line="240" w:lineRule="auto"/>
              <w:rPr>
                <w:rFonts w:eastAsia="Calibri"/>
                <w:i/>
                <w:iCs/>
              </w:rPr>
            </w:pPr>
            <w:r>
              <w:rPr>
                <w:rFonts w:eastAsia="Calibri"/>
                <w:i/>
                <w:iCs/>
              </w:rPr>
              <w:t>Team member</w:t>
            </w:r>
          </w:p>
        </w:tc>
      </w:tr>
      <w:tr w:rsidR="00CC58B9" w14:paraId="3E5FC65E" w14:textId="77777777">
        <w:trPr>
          <w:trHeight w:val="300"/>
        </w:trPr>
        <w:tc>
          <w:tcPr>
            <w:tcW w:w="1620" w:type="dxa"/>
          </w:tcPr>
          <w:p w14:paraId="65B237DC" w14:textId="633E6663" w:rsidR="00CC58B9" w:rsidRDefault="00CC58B9">
            <w:pPr>
              <w:widowControl w:val="0"/>
              <w:spacing w:after="0" w:line="240" w:lineRule="auto"/>
              <w:rPr>
                <w:rFonts w:eastAsia="Calibri"/>
                <w:i/>
                <w:iCs/>
              </w:rPr>
            </w:pPr>
            <w:proofErr w:type="spellStart"/>
            <w:r>
              <w:rPr>
                <w:rFonts w:eastAsia="Calibri"/>
                <w:i/>
                <w:iCs/>
              </w:rPr>
              <w:t>Philllip</w:t>
            </w:r>
            <w:proofErr w:type="spellEnd"/>
            <w:r>
              <w:rPr>
                <w:rFonts w:eastAsia="Calibri"/>
                <w:i/>
                <w:iCs/>
              </w:rPr>
              <w:t xml:space="preserve"> Waggoner</w:t>
            </w:r>
          </w:p>
        </w:tc>
        <w:tc>
          <w:tcPr>
            <w:tcW w:w="7739" w:type="dxa"/>
          </w:tcPr>
          <w:p w14:paraId="0115DA2E" w14:textId="4B06225E" w:rsidR="00CC58B9" w:rsidRDefault="00CC58B9">
            <w:pPr>
              <w:widowControl w:val="0"/>
              <w:spacing w:after="0" w:line="240" w:lineRule="auto"/>
              <w:rPr>
                <w:rFonts w:eastAsia="Calibri"/>
                <w:i/>
                <w:iCs/>
              </w:rPr>
            </w:pPr>
            <w:r>
              <w:rPr>
                <w:rFonts w:eastAsia="Calibri"/>
                <w:i/>
                <w:iCs/>
              </w:rPr>
              <w:t>Mentor</w:t>
            </w:r>
          </w:p>
        </w:tc>
      </w:tr>
      <w:tr w:rsidR="00CC58B9" w14:paraId="0BA86822" w14:textId="77777777">
        <w:trPr>
          <w:trHeight w:val="300"/>
        </w:trPr>
        <w:tc>
          <w:tcPr>
            <w:tcW w:w="1620" w:type="dxa"/>
          </w:tcPr>
          <w:p w14:paraId="2315807D" w14:textId="02A8B4BE" w:rsidR="00CC58B9" w:rsidRDefault="00CC58B9">
            <w:pPr>
              <w:widowControl w:val="0"/>
              <w:spacing w:after="0" w:line="240" w:lineRule="auto"/>
              <w:rPr>
                <w:rFonts w:eastAsia="Calibri"/>
                <w:i/>
                <w:iCs/>
              </w:rPr>
            </w:pPr>
            <w:r>
              <w:rPr>
                <w:rFonts w:eastAsia="Calibri"/>
                <w:i/>
                <w:iCs/>
              </w:rPr>
              <w:t>Emanuel Moss</w:t>
            </w:r>
          </w:p>
        </w:tc>
        <w:tc>
          <w:tcPr>
            <w:tcW w:w="7739" w:type="dxa"/>
          </w:tcPr>
          <w:p w14:paraId="0AEEF136" w14:textId="0081BE30" w:rsidR="00CC58B9" w:rsidRDefault="00CC58B9">
            <w:pPr>
              <w:widowControl w:val="0"/>
              <w:spacing w:after="0" w:line="240" w:lineRule="auto"/>
              <w:rPr>
                <w:rFonts w:eastAsia="Calibri"/>
                <w:i/>
                <w:iCs/>
              </w:rPr>
            </w:pPr>
            <w:r>
              <w:rPr>
                <w:rFonts w:eastAsia="Calibri"/>
                <w:i/>
                <w:iCs/>
              </w:rPr>
              <w:t>Sponsor</w:t>
            </w:r>
          </w:p>
        </w:tc>
      </w:tr>
      <w:tr w:rsidR="00CC58B9" w14:paraId="46B31134" w14:textId="77777777">
        <w:trPr>
          <w:trHeight w:val="300"/>
        </w:trPr>
        <w:tc>
          <w:tcPr>
            <w:tcW w:w="1620" w:type="dxa"/>
          </w:tcPr>
          <w:p w14:paraId="12DCBF77" w14:textId="3064B672" w:rsidR="00CC58B9" w:rsidRDefault="00CC58B9">
            <w:pPr>
              <w:widowControl w:val="0"/>
              <w:spacing w:after="0" w:line="240" w:lineRule="auto"/>
              <w:rPr>
                <w:rFonts w:eastAsia="Calibri"/>
                <w:i/>
                <w:iCs/>
              </w:rPr>
            </w:pPr>
            <w:r>
              <w:rPr>
                <w:rFonts w:eastAsia="Calibri"/>
                <w:i/>
                <w:iCs/>
              </w:rPr>
              <w:t>Elizabeth Watkins</w:t>
            </w:r>
          </w:p>
        </w:tc>
        <w:tc>
          <w:tcPr>
            <w:tcW w:w="7739" w:type="dxa"/>
          </w:tcPr>
          <w:p w14:paraId="39A9EB42" w14:textId="54C14605" w:rsidR="00CC58B9" w:rsidRDefault="00CC58B9">
            <w:pPr>
              <w:widowControl w:val="0"/>
              <w:spacing w:after="0" w:line="240" w:lineRule="auto"/>
              <w:rPr>
                <w:rFonts w:eastAsia="Calibri"/>
                <w:i/>
                <w:iCs/>
              </w:rPr>
            </w:pPr>
            <w:r>
              <w:rPr>
                <w:rFonts w:eastAsia="Calibri"/>
                <w:i/>
                <w:iCs/>
              </w:rPr>
              <w:t>Sponsor</w:t>
            </w:r>
          </w:p>
        </w:tc>
      </w:tr>
      <w:tr w:rsidR="00CC58B9" w14:paraId="1E13D21C" w14:textId="77777777">
        <w:trPr>
          <w:trHeight w:val="300"/>
        </w:trPr>
        <w:tc>
          <w:tcPr>
            <w:tcW w:w="1620" w:type="dxa"/>
          </w:tcPr>
          <w:p w14:paraId="618C62C5" w14:textId="372AF7D4" w:rsidR="00CC58B9" w:rsidRDefault="00920404">
            <w:pPr>
              <w:widowControl w:val="0"/>
              <w:spacing w:after="0" w:line="240" w:lineRule="auto"/>
              <w:rPr>
                <w:rFonts w:eastAsia="Calibri"/>
                <w:i/>
                <w:iCs/>
              </w:rPr>
            </w:pPr>
            <w:r>
              <w:rPr>
                <w:rFonts w:eastAsia="Calibri"/>
                <w:i/>
                <w:iCs/>
              </w:rPr>
              <w:t>Dawn Nafus</w:t>
            </w:r>
          </w:p>
        </w:tc>
        <w:tc>
          <w:tcPr>
            <w:tcW w:w="7739" w:type="dxa"/>
          </w:tcPr>
          <w:p w14:paraId="61B5FF66" w14:textId="22F19CA7" w:rsidR="00CC58B9" w:rsidRDefault="00920404">
            <w:pPr>
              <w:widowControl w:val="0"/>
              <w:spacing w:after="0" w:line="240" w:lineRule="auto"/>
              <w:rPr>
                <w:rFonts w:eastAsia="Calibri"/>
                <w:i/>
                <w:iCs/>
              </w:rPr>
            </w:pPr>
            <w:r>
              <w:rPr>
                <w:rFonts w:eastAsia="Calibri"/>
                <w:i/>
                <w:iCs/>
              </w:rPr>
              <w:t>Sponsor</w:t>
            </w:r>
          </w:p>
        </w:tc>
      </w:tr>
    </w:tbl>
    <w:p w14:paraId="1CC8F3E1" w14:textId="77777777" w:rsidR="00920404" w:rsidRDefault="00920404">
      <w:pPr>
        <w:rPr>
          <w:b/>
          <w:bCs/>
        </w:rPr>
      </w:pPr>
    </w:p>
    <w:p w14:paraId="19070233" w14:textId="6440C6E4" w:rsidR="00FC68D5" w:rsidRPr="00920404" w:rsidRDefault="00000000">
      <w:pPr>
        <w:rPr>
          <w:b/>
          <w:bCs/>
        </w:rPr>
      </w:pPr>
      <w:r>
        <w:rPr>
          <w:b/>
          <w:bCs/>
        </w:rPr>
        <w:t xml:space="preserve">Project Title: </w:t>
      </w:r>
      <w:r w:rsidR="00920404" w:rsidRPr="00920404">
        <w:t>Bias Evaluation in Open Model Platform</w:t>
      </w:r>
    </w:p>
    <w:p w14:paraId="3CEC252F" w14:textId="77777777" w:rsidR="00FC68D5" w:rsidRDefault="00000000">
      <w:pPr>
        <w:rPr>
          <w:b/>
          <w:bCs/>
        </w:rPr>
      </w:pPr>
      <w:r>
        <w:rPr>
          <w:b/>
          <w:bCs/>
        </w:rPr>
        <w:t>Abstract</w:t>
      </w:r>
    </w:p>
    <w:p w14:paraId="2EA250AC" w14:textId="422751A8" w:rsidR="00FC68D5" w:rsidRDefault="00920404">
      <w:r w:rsidRPr="00920404">
        <w:t>This project seeks to evaluate one model in Intel Labs’ Open Model Zoo for potential bias against protected characteristic(s). The team will start by researching bias metrics, identifying useful datasets, and choosing a model that will be feasible to evaluate, with appropriate metrics. Finally, the model’s inference on the datasets will be evaluated using the chosen bias metrics.</w:t>
      </w:r>
    </w:p>
    <w:p w14:paraId="23FD9188" w14:textId="77777777" w:rsidR="00FC68D5" w:rsidRDefault="00000000">
      <w:pPr>
        <w:rPr>
          <w:b/>
          <w:bCs/>
        </w:rPr>
      </w:pPr>
      <w:r>
        <w:rPr>
          <w:b/>
          <w:bCs/>
        </w:rPr>
        <w:t>Outline of the Project</w:t>
      </w:r>
    </w:p>
    <w:p w14:paraId="09B0DFCC" w14:textId="2414693F" w:rsidR="00920404" w:rsidRDefault="00920404">
      <w:r>
        <w:t xml:space="preserve">Intel’s Open Model Zoo (OMZ) is an offering that allows regular people to use pretrained AI models for their own purposes. This project is important because AI models can easily have bias inherent to their training, which can impact their performance and their impact on society, depending on for what purpose they are leveraged. Since the OMZ is publicly available, the potential for applications is </w:t>
      </w:r>
      <w:r>
        <w:lastRenderedPageBreak/>
        <w:t>expansive and, in turn, so are the potential for consequences from biased training. Stakeholders could include anyone who employs the model, or anyone who could be affected by myriad applications of the model.</w:t>
      </w:r>
    </w:p>
    <w:p w14:paraId="6C08E2CD" w14:textId="3409362C" w:rsidR="00FC68D5" w:rsidRDefault="00920404">
      <w:r>
        <w:t>The scope of this project is one model, and finding a metric or set of metrics that can quantify the bias in the model’s training. We assume that we start with a possibly biased, pretrained model. A stretch goal of the project will be to create a pipeline that will facilitate future bias detection in other models.</w:t>
      </w:r>
    </w:p>
    <w:p w14:paraId="73AB30F1" w14:textId="5D76EF65" w:rsidR="00FC68D5" w:rsidRPr="006B21E3" w:rsidRDefault="00000000">
      <w:r>
        <w:rPr>
          <w:b/>
          <w:bCs/>
        </w:rPr>
        <w:t>Success Criteria</w:t>
      </w:r>
    </w:p>
    <w:tbl>
      <w:tblPr>
        <w:tblStyle w:val="TableGrid"/>
        <w:tblW w:w="9360" w:type="dxa"/>
        <w:tblLayout w:type="fixed"/>
        <w:tblLook w:val="06A0" w:firstRow="1" w:lastRow="0" w:firstColumn="1" w:lastColumn="0" w:noHBand="1" w:noVBand="1"/>
      </w:tblPr>
      <w:tblGrid>
        <w:gridCol w:w="745"/>
        <w:gridCol w:w="8615"/>
      </w:tblGrid>
      <w:tr w:rsidR="00FC68D5" w14:paraId="1FF07DC1" w14:textId="77777777">
        <w:trPr>
          <w:trHeight w:val="300"/>
        </w:trPr>
        <w:tc>
          <w:tcPr>
            <w:tcW w:w="745" w:type="dxa"/>
          </w:tcPr>
          <w:p w14:paraId="098181B1" w14:textId="77777777" w:rsidR="00FC68D5" w:rsidRPr="006B21E3" w:rsidRDefault="00000000">
            <w:pPr>
              <w:widowControl w:val="0"/>
              <w:spacing w:after="0" w:line="240" w:lineRule="auto"/>
            </w:pPr>
            <w:r w:rsidRPr="006B21E3">
              <w:rPr>
                <w:rFonts w:eastAsia="Calibri"/>
              </w:rPr>
              <w:t>SC1</w:t>
            </w:r>
          </w:p>
        </w:tc>
        <w:tc>
          <w:tcPr>
            <w:tcW w:w="8614" w:type="dxa"/>
          </w:tcPr>
          <w:p w14:paraId="48592BC2" w14:textId="5DB02C48" w:rsidR="00FC68D5" w:rsidRPr="006B21E3" w:rsidRDefault="00920404">
            <w:pPr>
              <w:widowControl w:val="0"/>
              <w:spacing w:after="0" w:line="240" w:lineRule="auto"/>
            </w:pPr>
            <w:r w:rsidRPr="006B21E3">
              <w:t>Summary of existing bias metrics for AI models</w:t>
            </w:r>
          </w:p>
        </w:tc>
      </w:tr>
      <w:tr w:rsidR="00FC68D5" w14:paraId="2D85877C" w14:textId="77777777">
        <w:trPr>
          <w:trHeight w:val="300"/>
        </w:trPr>
        <w:tc>
          <w:tcPr>
            <w:tcW w:w="745" w:type="dxa"/>
          </w:tcPr>
          <w:p w14:paraId="68152B81" w14:textId="77777777" w:rsidR="00FC68D5" w:rsidRPr="006B21E3" w:rsidRDefault="00000000">
            <w:pPr>
              <w:widowControl w:val="0"/>
              <w:spacing w:after="0" w:line="240" w:lineRule="auto"/>
            </w:pPr>
            <w:r w:rsidRPr="006B21E3">
              <w:rPr>
                <w:rFonts w:eastAsia="Calibri"/>
              </w:rPr>
              <w:t>SC2</w:t>
            </w:r>
          </w:p>
        </w:tc>
        <w:tc>
          <w:tcPr>
            <w:tcW w:w="8614" w:type="dxa"/>
          </w:tcPr>
          <w:p w14:paraId="0F32DE44" w14:textId="74DDA1FA" w:rsidR="00FC68D5" w:rsidRPr="006B21E3" w:rsidRDefault="00920404">
            <w:pPr>
              <w:widowControl w:val="0"/>
              <w:spacing w:after="0" w:line="240" w:lineRule="auto"/>
            </w:pPr>
            <w:r w:rsidRPr="006B21E3">
              <w:t>Identified datasets with ground truth that can be used with the chosen model</w:t>
            </w:r>
          </w:p>
        </w:tc>
      </w:tr>
      <w:tr w:rsidR="00920404" w14:paraId="0EBB9EC5" w14:textId="77777777">
        <w:trPr>
          <w:trHeight w:val="300"/>
        </w:trPr>
        <w:tc>
          <w:tcPr>
            <w:tcW w:w="745" w:type="dxa"/>
          </w:tcPr>
          <w:p w14:paraId="28CEFA95" w14:textId="1DC1102B" w:rsidR="00920404" w:rsidRPr="006B21E3" w:rsidRDefault="00920404">
            <w:pPr>
              <w:widowControl w:val="0"/>
              <w:spacing w:after="0" w:line="240" w:lineRule="auto"/>
              <w:rPr>
                <w:rFonts w:eastAsia="Calibri"/>
              </w:rPr>
            </w:pPr>
            <w:r w:rsidRPr="006B21E3">
              <w:rPr>
                <w:rFonts w:eastAsia="Calibri"/>
              </w:rPr>
              <w:t>SC3</w:t>
            </w:r>
          </w:p>
        </w:tc>
        <w:tc>
          <w:tcPr>
            <w:tcW w:w="8614" w:type="dxa"/>
          </w:tcPr>
          <w:p w14:paraId="276FFFF8" w14:textId="676EB6C8" w:rsidR="00920404" w:rsidRPr="006B21E3" w:rsidRDefault="006B21E3">
            <w:pPr>
              <w:widowControl w:val="0"/>
              <w:spacing w:after="0" w:line="240" w:lineRule="auto"/>
            </w:pPr>
            <w:r w:rsidRPr="006B21E3">
              <w:t>One model summarized in terms of chosen bias metrics</w:t>
            </w:r>
          </w:p>
        </w:tc>
      </w:tr>
      <w:tr w:rsidR="006B21E3" w14:paraId="44167FE1" w14:textId="77777777">
        <w:trPr>
          <w:trHeight w:val="300"/>
        </w:trPr>
        <w:tc>
          <w:tcPr>
            <w:tcW w:w="745" w:type="dxa"/>
          </w:tcPr>
          <w:p w14:paraId="6BE7F176" w14:textId="54629012" w:rsidR="006B21E3" w:rsidRPr="006B21E3" w:rsidRDefault="006B21E3">
            <w:pPr>
              <w:widowControl w:val="0"/>
              <w:spacing w:after="0" w:line="240" w:lineRule="auto"/>
              <w:rPr>
                <w:rFonts w:eastAsia="Calibri"/>
              </w:rPr>
            </w:pPr>
            <w:r w:rsidRPr="006B21E3">
              <w:rPr>
                <w:rFonts w:eastAsia="Calibri"/>
              </w:rPr>
              <w:t>SC4</w:t>
            </w:r>
          </w:p>
        </w:tc>
        <w:tc>
          <w:tcPr>
            <w:tcW w:w="8614" w:type="dxa"/>
          </w:tcPr>
          <w:p w14:paraId="3C27207F" w14:textId="5894D3E6" w:rsidR="006B21E3" w:rsidRPr="006B21E3" w:rsidRDefault="006B21E3">
            <w:pPr>
              <w:widowControl w:val="0"/>
              <w:spacing w:after="0" w:line="240" w:lineRule="auto"/>
            </w:pPr>
            <w:r w:rsidRPr="006B21E3">
              <w:t>(Stretch goal) Initial development of testing pipeline to follow the lead of this project</w:t>
            </w:r>
          </w:p>
        </w:tc>
      </w:tr>
    </w:tbl>
    <w:p w14:paraId="76AB5D09" w14:textId="77777777" w:rsidR="00FC68D5" w:rsidRDefault="00FC68D5"/>
    <w:p w14:paraId="271D1CEE" w14:textId="77777777" w:rsidR="00FC68D5" w:rsidRDefault="00000000">
      <w:pPr>
        <w:rPr>
          <w:b/>
          <w:bCs/>
        </w:rPr>
      </w:pPr>
      <w:r>
        <w:rPr>
          <w:b/>
          <w:bCs/>
        </w:rPr>
        <w:t>Assumptions and Limitations</w:t>
      </w:r>
    </w:p>
    <w:p w14:paraId="22EB9747" w14:textId="77777777" w:rsidR="00FC68D5" w:rsidRDefault="00000000">
      <w:pPr>
        <w:rPr>
          <w:i/>
          <w:iCs/>
        </w:rPr>
      </w:pPr>
      <w:r>
        <w:rPr>
          <w:i/>
          <w:iCs/>
        </w:rPr>
        <w:t xml:space="preserve">For any project, there may be assumptions </w:t>
      </w:r>
      <w:r>
        <w:t>[A]</w:t>
      </w:r>
      <w:r>
        <w:rPr>
          <w:i/>
          <w:iCs/>
        </w:rPr>
        <w:t xml:space="preserve"> and limitations </w:t>
      </w:r>
      <w:r>
        <w:t>[L]</w:t>
      </w:r>
      <w:r>
        <w:rPr>
          <w:i/>
          <w:iCs/>
        </w:rPr>
        <w:t xml:space="preserve"> on the data and the modeling approach. These can be documented here. Example: </w:t>
      </w:r>
      <w:r>
        <w:t xml:space="preserve">[L] </w:t>
      </w:r>
      <w:r>
        <w:rPr>
          <w:i/>
          <w:iCs/>
        </w:rPr>
        <w:t>Ideally, the dataset would include variable X, but we did not have access to this data, which was a limitation.</w:t>
      </w:r>
    </w:p>
    <w:tbl>
      <w:tblPr>
        <w:tblStyle w:val="TableGrid"/>
        <w:tblW w:w="9360" w:type="dxa"/>
        <w:tblLayout w:type="fixed"/>
        <w:tblLook w:val="06A0" w:firstRow="1" w:lastRow="0" w:firstColumn="1" w:lastColumn="0" w:noHBand="1" w:noVBand="1"/>
      </w:tblPr>
      <w:tblGrid>
        <w:gridCol w:w="1695"/>
        <w:gridCol w:w="7665"/>
      </w:tblGrid>
      <w:tr w:rsidR="00FC68D5" w14:paraId="446A3161" w14:textId="77777777">
        <w:trPr>
          <w:trHeight w:val="300"/>
        </w:trPr>
        <w:tc>
          <w:tcPr>
            <w:tcW w:w="1695" w:type="dxa"/>
          </w:tcPr>
          <w:p w14:paraId="431736D7" w14:textId="77777777" w:rsidR="00FC68D5" w:rsidRDefault="00000000">
            <w:pPr>
              <w:widowControl w:val="0"/>
              <w:spacing w:after="0"/>
              <w:rPr>
                <w:b/>
                <w:bCs/>
              </w:rPr>
            </w:pPr>
            <w:r>
              <w:rPr>
                <w:rFonts w:eastAsia="Calibri"/>
                <w:b/>
                <w:bCs/>
              </w:rPr>
              <w:t>Identifier</w:t>
            </w:r>
          </w:p>
        </w:tc>
        <w:tc>
          <w:tcPr>
            <w:tcW w:w="7664" w:type="dxa"/>
          </w:tcPr>
          <w:p w14:paraId="6C9FAAD9" w14:textId="77777777" w:rsidR="00FC68D5" w:rsidRDefault="00000000">
            <w:pPr>
              <w:widowControl w:val="0"/>
              <w:spacing w:after="0" w:line="240" w:lineRule="auto"/>
              <w:rPr>
                <w:b/>
                <w:bCs/>
              </w:rPr>
            </w:pPr>
            <w:r>
              <w:rPr>
                <w:rFonts w:eastAsia="Calibri"/>
                <w:b/>
                <w:bCs/>
              </w:rPr>
              <w:t>Description</w:t>
            </w:r>
          </w:p>
        </w:tc>
      </w:tr>
      <w:tr w:rsidR="00FC68D5" w14:paraId="4F90EFF5" w14:textId="77777777">
        <w:trPr>
          <w:trHeight w:val="300"/>
        </w:trPr>
        <w:tc>
          <w:tcPr>
            <w:tcW w:w="1695" w:type="dxa"/>
          </w:tcPr>
          <w:p w14:paraId="38F53B78" w14:textId="77777777" w:rsidR="00FC68D5" w:rsidRDefault="00FC68D5">
            <w:pPr>
              <w:widowControl w:val="0"/>
              <w:spacing w:after="0" w:line="240" w:lineRule="auto"/>
            </w:pPr>
          </w:p>
        </w:tc>
        <w:tc>
          <w:tcPr>
            <w:tcW w:w="7664" w:type="dxa"/>
          </w:tcPr>
          <w:p w14:paraId="32F72D48" w14:textId="4B5AF07A" w:rsidR="00FC68D5" w:rsidRDefault="006B21E3">
            <w:pPr>
              <w:widowControl w:val="0"/>
              <w:spacing w:after="0" w:line="240" w:lineRule="auto"/>
              <w:rPr>
                <w:i/>
                <w:iCs/>
              </w:rPr>
            </w:pPr>
            <w:r>
              <w:rPr>
                <w:i/>
                <w:iCs/>
              </w:rPr>
              <w:t>This section to be more fleshed out as we find datasets and choose a model</w:t>
            </w:r>
          </w:p>
        </w:tc>
      </w:tr>
    </w:tbl>
    <w:p w14:paraId="1D1B2AFF" w14:textId="608554F2" w:rsidR="006B21E3" w:rsidRPr="006B21E3" w:rsidRDefault="006B21E3"/>
    <w:p w14:paraId="22D87B1E" w14:textId="77777777" w:rsidR="00FC68D5" w:rsidRDefault="00000000">
      <w:pPr>
        <w:rPr>
          <w:b/>
          <w:bCs/>
        </w:rPr>
      </w:pPr>
      <w:r>
        <w:rPr>
          <w:b/>
          <w:bCs/>
        </w:rPr>
        <w:t>Potential Background Literature and Resources</w:t>
      </w:r>
    </w:p>
    <w:p w14:paraId="718B11AC" w14:textId="06FDF98F" w:rsidR="00FC68D5" w:rsidRDefault="006B21E3" w:rsidP="006B21E3">
      <w:pPr>
        <w:pStyle w:val="ListParagraph"/>
        <w:numPr>
          <w:ilvl w:val="0"/>
          <w:numId w:val="1"/>
        </w:numPr>
      </w:pPr>
      <w:r>
        <w:t>“</w:t>
      </w:r>
      <w:r w:rsidRPr="006B21E3">
        <w:t>The four-fifths rule is not disparate impact: a woeful tale of epistemic trespassing in algorithmic fairness</w:t>
      </w:r>
      <w:r>
        <w:t xml:space="preserve">” </w:t>
      </w:r>
      <w:hyperlink r:id="rId8" w:history="1">
        <w:r w:rsidRPr="00F06132">
          <w:rPr>
            <w:rStyle w:val="Hyperlink"/>
          </w:rPr>
          <w:t>https://arxiv.org/abs/2202.09519</w:t>
        </w:r>
      </w:hyperlink>
    </w:p>
    <w:p w14:paraId="46D9C1E5" w14:textId="0D5F21FB" w:rsidR="006B21E3" w:rsidRDefault="006B21E3" w:rsidP="006B21E3">
      <w:pPr>
        <w:pStyle w:val="ListParagraph"/>
        <w:numPr>
          <w:ilvl w:val="0"/>
          <w:numId w:val="1"/>
        </w:numPr>
      </w:pPr>
      <w:r>
        <w:t>“</w:t>
      </w:r>
      <w:r w:rsidRPr="006B21E3">
        <w:t>Measuring Model Biases in the Absence of Ground Truth</w:t>
      </w:r>
      <w:r>
        <w:t xml:space="preserve">” </w:t>
      </w:r>
      <w:hyperlink r:id="rId9" w:history="1">
        <w:r w:rsidRPr="00F06132">
          <w:rPr>
            <w:rStyle w:val="Hyperlink"/>
          </w:rPr>
          <w:t>https://dl.acm.org/doi/pdf/10.1145/3461702.3462557</w:t>
        </w:r>
      </w:hyperlink>
      <w:r>
        <w:t xml:space="preserve"> and references</w:t>
      </w:r>
    </w:p>
    <w:p w14:paraId="41C6C595" w14:textId="734CC913" w:rsidR="006B21E3" w:rsidRDefault="006B21E3" w:rsidP="006B21E3">
      <w:pPr>
        <w:pStyle w:val="ListParagraph"/>
        <w:numPr>
          <w:ilvl w:val="0"/>
          <w:numId w:val="1"/>
        </w:numPr>
      </w:pPr>
      <w:r>
        <w:t xml:space="preserve">Project GitHub repository </w:t>
      </w:r>
      <w:hyperlink r:id="rId10" w:history="1">
        <w:r w:rsidRPr="00F06132">
          <w:rPr>
            <w:rStyle w:val="Hyperlink"/>
          </w:rPr>
          <w:t>https://github.com/oatmeelsquares/BiasOMZ</w:t>
        </w:r>
      </w:hyperlink>
    </w:p>
    <w:p w14:paraId="436FE03F" w14:textId="0A564A1B" w:rsidR="006B21E3" w:rsidRPr="006B21E3" w:rsidRDefault="006B21E3" w:rsidP="006B21E3">
      <w:pPr>
        <w:pStyle w:val="ListParagraph"/>
        <w:numPr>
          <w:ilvl w:val="0"/>
          <w:numId w:val="1"/>
        </w:numPr>
      </w:pPr>
      <w:r>
        <w:t xml:space="preserve">Google Dataset Search </w:t>
      </w:r>
      <w:hyperlink r:id="rId11" w:history="1">
        <w:r w:rsidRPr="00F06132">
          <w:rPr>
            <w:rStyle w:val="Hyperlink"/>
          </w:rPr>
          <w:t>https://datasetsearch.research.google.com/</w:t>
        </w:r>
      </w:hyperlink>
    </w:p>
    <w:p w14:paraId="7F31F75B" w14:textId="77777777" w:rsidR="00FC68D5" w:rsidRDefault="00000000">
      <w:r>
        <w:rPr>
          <w:b/>
          <w:bCs/>
        </w:rPr>
        <w:t>Brief Outline of the Data</w:t>
      </w:r>
    </w:p>
    <w:p w14:paraId="70C016C7" w14:textId="4A0B537F" w:rsidR="00FC68D5" w:rsidRPr="006B21E3" w:rsidRDefault="006B21E3">
      <w:r w:rsidRPr="006B21E3">
        <w:t>TBD</w:t>
      </w:r>
      <w:r w:rsidR="00000000">
        <w:br/>
      </w:r>
      <w:r w:rsidR="00000000">
        <w:rPr>
          <w:b/>
          <w:bCs/>
        </w:rPr>
        <w:t>Brief Plan of How the Data will be Modeled and Processed</w:t>
      </w:r>
    </w:p>
    <w:p w14:paraId="7E14AD4C" w14:textId="6EA3D5B3" w:rsidR="00FC68D5" w:rsidRPr="008824E1" w:rsidRDefault="006B21E3">
      <w:r w:rsidRPr="008824E1">
        <w:t xml:space="preserve">We will </w:t>
      </w:r>
      <w:r w:rsidR="008824E1">
        <w:t xml:space="preserve">be using data that is publicly available online. There will be no need to store it long-term. </w:t>
      </w:r>
      <w:r w:rsidR="00BA0FDD">
        <w:t>Processing will depend on what datasets we find.</w:t>
      </w:r>
    </w:p>
    <w:p w14:paraId="7A494726" w14:textId="77777777" w:rsidR="00FC68D5" w:rsidRDefault="00000000">
      <w:pPr>
        <w:rPr>
          <w:b/>
          <w:bCs/>
        </w:rPr>
      </w:pPr>
      <w:r>
        <w:rPr>
          <w:b/>
          <w:bCs/>
        </w:rPr>
        <w:t>Brief Plan of Modeling Approaches</w:t>
      </w:r>
    </w:p>
    <w:p w14:paraId="6837646B" w14:textId="5B7C51E0" w:rsidR="008824E1" w:rsidRPr="008824E1" w:rsidRDefault="008824E1">
      <w:r>
        <w:t>We will use the OMZ model as intended. Which model to use is TBD. We may use metrics such as precision and recall to compare the differences in performance between different demographics. However, the final metrics we will use is TBD.</w:t>
      </w:r>
    </w:p>
    <w:p w14:paraId="123F3A3B" w14:textId="77777777" w:rsidR="00FC68D5" w:rsidRDefault="00FC68D5">
      <w:pPr>
        <w:rPr>
          <w:i/>
          <w:iCs/>
        </w:rPr>
      </w:pPr>
    </w:p>
    <w:p w14:paraId="4011E7E1" w14:textId="32BF3DBC" w:rsidR="00FC68D5" w:rsidRPr="00CE1D02" w:rsidRDefault="00000000">
      <w:pPr>
        <w:rPr>
          <w:b/>
          <w:bCs/>
        </w:rPr>
      </w:pPr>
      <w:r>
        <w:rPr>
          <w:b/>
          <w:bCs/>
        </w:rPr>
        <w:t>Potential Concerns [C] and Blockers [B]</w:t>
      </w:r>
    </w:p>
    <w:tbl>
      <w:tblPr>
        <w:tblStyle w:val="TableGrid"/>
        <w:tblW w:w="9360" w:type="dxa"/>
        <w:tblLayout w:type="fixed"/>
        <w:tblLook w:val="06A0" w:firstRow="1" w:lastRow="0" w:firstColumn="1" w:lastColumn="0" w:noHBand="1" w:noVBand="1"/>
      </w:tblPr>
      <w:tblGrid>
        <w:gridCol w:w="1695"/>
        <w:gridCol w:w="7665"/>
      </w:tblGrid>
      <w:tr w:rsidR="00FC68D5" w14:paraId="12B57734" w14:textId="77777777">
        <w:trPr>
          <w:trHeight w:val="300"/>
        </w:trPr>
        <w:tc>
          <w:tcPr>
            <w:tcW w:w="1695" w:type="dxa"/>
          </w:tcPr>
          <w:p w14:paraId="09F97863" w14:textId="77777777" w:rsidR="00FC68D5" w:rsidRDefault="00000000">
            <w:pPr>
              <w:widowControl w:val="0"/>
              <w:spacing w:after="0"/>
              <w:rPr>
                <w:b/>
                <w:bCs/>
              </w:rPr>
            </w:pPr>
            <w:r>
              <w:rPr>
                <w:rFonts w:eastAsia="Calibri"/>
                <w:b/>
                <w:bCs/>
              </w:rPr>
              <w:t>Identifier</w:t>
            </w:r>
          </w:p>
        </w:tc>
        <w:tc>
          <w:tcPr>
            <w:tcW w:w="7664" w:type="dxa"/>
          </w:tcPr>
          <w:p w14:paraId="428C12AE" w14:textId="77777777" w:rsidR="00FC68D5" w:rsidRDefault="00000000">
            <w:pPr>
              <w:widowControl w:val="0"/>
              <w:spacing w:after="0" w:line="240" w:lineRule="auto"/>
              <w:rPr>
                <w:b/>
                <w:bCs/>
              </w:rPr>
            </w:pPr>
            <w:r>
              <w:rPr>
                <w:rFonts w:eastAsia="Calibri"/>
                <w:b/>
                <w:bCs/>
              </w:rPr>
              <w:t>Description</w:t>
            </w:r>
          </w:p>
        </w:tc>
      </w:tr>
      <w:tr w:rsidR="00FC68D5" w14:paraId="3B0A5743" w14:textId="77777777">
        <w:trPr>
          <w:trHeight w:val="300"/>
        </w:trPr>
        <w:tc>
          <w:tcPr>
            <w:tcW w:w="1695" w:type="dxa"/>
          </w:tcPr>
          <w:p w14:paraId="56AABF23" w14:textId="348FB33F" w:rsidR="00FC68D5" w:rsidRPr="00CE1D02" w:rsidRDefault="00CE1D02">
            <w:pPr>
              <w:widowControl w:val="0"/>
              <w:spacing w:after="0" w:line="240" w:lineRule="auto"/>
            </w:pPr>
            <w:r>
              <w:t>C</w:t>
            </w:r>
          </w:p>
        </w:tc>
        <w:tc>
          <w:tcPr>
            <w:tcW w:w="7664" w:type="dxa"/>
          </w:tcPr>
          <w:p w14:paraId="6F7372DC" w14:textId="36B77914" w:rsidR="00FC68D5" w:rsidRPr="00CE1D02" w:rsidRDefault="00CE1D02">
            <w:pPr>
              <w:widowControl w:val="0"/>
              <w:spacing w:after="0" w:line="240" w:lineRule="auto"/>
            </w:pPr>
            <w:r>
              <w:t>Keep in mind the nuance of metrics, that rarely can things be encompassed in a single number</w:t>
            </w:r>
          </w:p>
        </w:tc>
      </w:tr>
      <w:tr w:rsidR="00CE1D02" w14:paraId="4CE40ECC" w14:textId="77777777">
        <w:trPr>
          <w:trHeight w:val="300"/>
        </w:trPr>
        <w:tc>
          <w:tcPr>
            <w:tcW w:w="1695" w:type="dxa"/>
          </w:tcPr>
          <w:p w14:paraId="541ED163" w14:textId="1B915D71" w:rsidR="00CE1D02" w:rsidRDefault="00CE1D02">
            <w:pPr>
              <w:widowControl w:val="0"/>
              <w:spacing w:after="0" w:line="240" w:lineRule="auto"/>
            </w:pPr>
            <w:r>
              <w:t>C</w:t>
            </w:r>
          </w:p>
        </w:tc>
        <w:tc>
          <w:tcPr>
            <w:tcW w:w="7664" w:type="dxa"/>
          </w:tcPr>
          <w:p w14:paraId="3D53A4BF" w14:textId="03A02BDC" w:rsidR="00CE1D02" w:rsidRDefault="00CE1D02">
            <w:pPr>
              <w:widowControl w:val="0"/>
              <w:spacing w:after="0" w:line="240" w:lineRule="auto"/>
            </w:pPr>
            <w:r>
              <w:t>Potential block if we cannot find data labelled with demographic-related ground truth. May need to crowdsource labeling or use a model that also predicts the demographic.</w:t>
            </w:r>
          </w:p>
        </w:tc>
      </w:tr>
    </w:tbl>
    <w:p w14:paraId="16C26A34" w14:textId="77777777" w:rsidR="00FC68D5" w:rsidRDefault="00FC68D5">
      <w:pPr>
        <w:rPr>
          <w:i/>
          <w:iCs/>
        </w:rPr>
      </w:pPr>
    </w:p>
    <w:p w14:paraId="3B70FD98" w14:textId="77777777" w:rsidR="00FC68D5" w:rsidRDefault="00FC68D5">
      <w:pPr>
        <w:rPr>
          <w:i/>
          <w:iCs/>
        </w:rPr>
      </w:pPr>
    </w:p>
    <w:sectPr w:rsidR="00FC68D5">
      <w:headerReference w:type="default" r:id="rId12"/>
      <w:footerReference w:type="default" r:id="rId1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B6322" w14:textId="77777777" w:rsidR="005E3655" w:rsidRDefault="005E3655">
      <w:pPr>
        <w:spacing w:after="0" w:line="240" w:lineRule="auto"/>
      </w:pPr>
      <w:r>
        <w:separator/>
      </w:r>
    </w:p>
  </w:endnote>
  <w:endnote w:type="continuationSeparator" w:id="0">
    <w:p w14:paraId="3D06C404" w14:textId="77777777" w:rsidR="005E3655" w:rsidRDefault="005E3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FC68D5" w14:paraId="3285E0A5" w14:textId="77777777">
      <w:trPr>
        <w:trHeight w:val="300"/>
      </w:trPr>
      <w:tc>
        <w:tcPr>
          <w:tcW w:w="3120" w:type="dxa"/>
        </w:tcPr>
        <w:p w14:paraId="530D583A" w14:textId="77777777" w:rsidR="00FC68D5" w:rsidRDefault="00FC68D5">
          <w:pPr>
            <w:pStyle w:val="Header"/>
            <w:widowControl w:val="0"/>
            <w:ind w:left="-115"/>
            <w:rPr>
              <w:rFonts w:ascii="Calibri" w:eastAsia="Calibri" w:hAnsi="Calibri"/>
            </w:rPr>
          </w:pPr>
        </w:p>
      </w:tc>
      <w:tc>
        <w:tcPr>
          <w:tcW w:w="3120" w:type="dxa"/>
        </w:tcPr>
        <w:p w14:paraId="41FE8049" w14:textId="77777777" w:rsidR="00FC68D5" w:rsidRDefault="00FC68D5">
          <w:pPr>
            <w:pStyle w:val="Header"/>
            <w:widowControl w:val="0"/>
            <w:jc w:val="center"/>
            <w:rPr>
              <w:rFonts w:ascii="Calibri" w:eastAsia="Calibri" w:hAnsi="Calibri"/>
            </w:rPr>
          </w:pPr>
        </w:p>
      </w:tc>
      <w:tc>
        <w:tcPr>
          <w:tcW w:w="3120" w:type="dxa"/>
        </w:tcPr>
        <w:p w14:paraId="5B8C5AD7" w14:textId="77777777" w:rsidR="00FC68D5" w:rsidRDefault="00FC68D5">
          <w:pPr>
            <w:pStyle w:val="Header"/>
            <w:widowControl w:val="0"/>
            <w:ind w:right="-115"/>
            <w:jc w:val="right"/>
            <w:rPr>
              <w:rFonts w:ascii="Calibri" w:eastAsia="Calibri" w:hAnsi="Calibri"/>
            </w:rPr>
          </w:pPr>
        </w:p>
      </w:tc>
    </w:tr>
  </w:tbl>
  <w:p w14:paraId="5507DB0E" w14:textId="77777777" w:rsidR="00FC68D5" w:rsidRDefault="00FC6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B0C6F" w14:textId="77777777" w:rsidR="005E3655" w:rsidRDefault="005E3655">
      <w:pPr>
        <w:spacing w:after="0" w:line="240" w:lineRule="auto"/>
      </w:pPr>
      <w:r>
        <w:separator/>
      </w:r>
    </w:p>
  </w:footnote>
  <w:footnote w:type="continuationSeparator" w:id="0">
    <w:p w14:paraId="148BFE93" w14:textId="77777777" w:rsidR="005E3655" w:rsidRDefault="005E3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FC68D5" w14:paraId="1D531370" w14:textId="77777777">
      <w:trPr>
        <w:trHeight w:val="300"/>
      </w:trPr>
      <w:tc>
        <w:tcPr>
          <w:tcW w:w="3120" w:type="dxa"/>
        </w:tcPr>
        <w:p w14:paraId="71AB341E" w14:textId="77777777" w:rsidR="00FC68D5" w:rsidRDefault="00FC68D5">
          <w:pPr>
            <w:pStyle w:val="Header"/>
            <w:widowControl w:val="0"/>
            <w:ind w:left="-115"/>
            <w:rPr>
              <w:rFonts w:ascii="Calibri" w:eastAsia="Calibri" w:hAnsi="Calibri"/>
            </w:rPr>
          </w:pPr>
        </w:p>
      </w:tc>
      <w:tc>
        <w:tcPr>
          <w:tcW w:w="3120" w:type="dxa"/>
        </w:tcPr>
        <w:p w14:paraId="4FFB5743" w14:textId="77777777" w:rsidR="00FC68D5" w:rsidRDefault="00FC68D5">
          <w:pPr>
            <w:pStyle w:val="Header"/>
            <w:widowControl w:val="0"/>
            <w:jc w:val="center"/>
            <w:rPr>
              <w:rFonts w:ascii="Calibri" w:eastAsia="Calibri" w:hAnsi="Calibri"/>
            </w:rPr>
          </w:pPr>
        </w:p>
      </w:tc>
      <w:tc>
        <w:tcPr>
          <w:tcW w:w="3120" w:type="dxa"/>
        </w:tcPr>
        <w:p w14:paraId="784F829F" w14:textId="77777777" w:rsidR="00FC68D5" w:rsidRDefault="00FC68D5">
          <w:pPr>
            <w:pStyle w:val="Header"/>
            <w:widowControl w:val="0"/>
            <w:ind w:right="-115"/>
            <w:jc w:val="right"/>
            <w:rPr>
              <w:rFonts w:ascii="Calibri" w:eastAsia="Calibri" w:hAnsi="Calibri"/>
            </w:rPr>
          </w:pPr>
        </w:p>
      </w:tc>
    </w:tr>
  </w:tbl>
  <w:p w14:paraId="171D64F7" w14:textId="77777777" w:rsidR="00FC68D5" w:rsidRDefault="00FC6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E25F0"/>
    <w:multiLevelType w:val="hybridMultilevel"/>
    <w:tmpl w:val="637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17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8D5"/>
    <w:rsid w:val="005E3655"/>
    <w:rsid w:val="006B21E3"/>
    <w:rsid w:val="008824E1"/>
    <w:rsid w:val="008F0346"/>
    <w:rsid w:val="00920404"/>
    <w:rsid w:val="00BA0FDD"/>
    <w:rsid w:val="00CC58B9"/>
    <w:rsid w:val="00CE1D02"/>
    <w:rsid w:val="00FC68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2D36"/>
  <w15:docId w15:val="{4ADA84CA-439C-46EE-91E3-D389DA6A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21E3"/>
    <w:pPr>
      <w:ind w:left="720"/>
      <w:contextualSpacing/>
    </w:pPr>
  </w:style>
  <w:style w:type="character" w:styleId="Hyperlink">
    <w:name w:val="Hyperlink"/>
    <w:basedOn w:val="DefaultParagraphFont"/>
    <w:uiPriority w:val="99"/>
    <w:unhideWhenUsed/>
    <w:rsid w:val="006B21E3"/>
    <w:rPr>
      <w:color w:val="0563C1" w:themeColor="hyperlink"/>
      <w:u w:val="single"/>
    </w:rPr>
  </w:style>
  <w:style w:type="character" w:styleId="UnresolvedMention">
    <w:name w:val="Unresolved Mention"/>
    <w:basedOn w:val="DefaultParagraphFont"/>
    <w:uiPriority w:val="99"/>
    <w:semiHidden/>
    <w:unhideWhenUsed/>
    <w:rsid w:val="006B2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rxiv.org/abs/2202.0951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etsearch.research.goog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oatmeelsquares/BiasOMZ" TargetMode="External"/><Relationship Id="rId4" Type="http://schemas.openxmlformats.org/officeDocument/2006/relationships/webSettings" Target="webSettings.xml"/><Relationship Id="rId9" Type="http://schemas.openxmlformats.org/officeDocument/2006/relationships/hyperlink" Target="https://dl.acm.org/doi/pdf/10.1145/3461702.346255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Tashman, Adam Paul (apt4c)</dc:creator>
  <dc:description/>
  <cp:lastModifiedBy>Desrosiers, Becky (rn7ena)</cp:lastModifiedBy>
  <cp:revision>4</cp:revision>
  <dcterms:created xsi:type="dcterms:W3CDTF">2025-01-20T19:32:00Z</dcterms:created>
  <dcterms:modified xsi:type="dcterms:W3CDTF">2025-01-20T19:39:00Z</dcterms:modified>
  <dc:language>en-US</dc:language>
</cp:coreProperties>
</file>