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Executive Summary</w:t>
      </w:r>
    </w:p>
    <w:p>
      <w:pPr>
        <w:spacing w:after="40"/>
        <w:jc w:val="center"/>
      </w:pPr>
      <w:r>
        <w:rPr>
          <w:b/>
          <w:sz w:val="24"/>
        </w:rPr>
        <w:t>BLE Indoor Localization System</w:t>
      </w:r>
    </w:p>
    <w:p>
      <w:pPr>
        <w:spacing w:after="40"/>
        <w:jc w:val="center"/>
      </w:pPr>
      <w:r>
        <w:rPr>
          <w:i/>
          <w:sz w:val="20"/>
        </w:rPr>
        <w:t>ECE180DA — Systems Design I, Winter 2026</w:t>
      </w:r>
    </w:p>
    <w:p>
      <w:pPr>
        <w:spacing w:after="120"/>
        <w:jc w:val="center"/>
      </w:pPr>
      <w:r>
        <w:rPr>
          <w:sz w:val="19"/>
        </w:rPr>
        <w:t>Authors: [Team Member Names]*</w:t>
      </w:r>
    </w:p>
    <w:p>
      <w:pPr>
        <w:spacing w:before="160" w:after="60"/>
      </w:pPr>
      <w:r>
        <w:rPr>
          <w:b/>
          <w:color w:val="1F3B73"/>
          <w:sz w:val="23"/>
        </w:rPr>
        <w:t>1. Requirements</w:t>
      </w:r>
    </w:p>
    <w:p>
      <w:pPr>
        <w:jc w:val="both"/>
      </w:pPr>
      <w:r>
        <w:rPr>
          <w:b w:val="0"/>
        </w:rPr>
        <w:t>Indoor navigation remains an unsolved problem in environments where GPS is unavailable — hospitals, large university buildings, shopping malls, and warehouses. The root cause is the absence of a low-cost, infrastructure-light positioning layer indoors. Our target stakeholders are building occupants who need wayfinding assistance (e.g., students in Boelter Hall) and facility managers who seek occupancy and flow data without deploying proprietary hardware. A secondary stakeholder group is first responders who require reliable indoor localization in emergency scenarios.</w:t>
      </w:r>
    </w:p>
    <w:p>
      <w:pPr>
        <w:jc w:val="both"/>
      </w:pPr>
      <w:r>
        <w:rPr>
          <w:b w:val="0"/>
        </w:rPr>
        <w:t xml:space="preserve">Our final design targets sub-3-meter position accuracy using commodity Bluetooth Low Energy (BLE) beacons, achieving real-time position updates at ~1 Hz with latency under 500 ms. </w:t>
      </w:r>
      <w:r>
        <w:rPr>
          <w:b/>
        </w:rPr>
        <w:t xml:space="preserve">Quantified value: </w:t>
      </w:r>
      <w:r>
        <w:rPr>
          <w:b w:val="0"/>
        </w:rPr>
        <w:t>we estimate a correctly deployed system reduces average navigation time in a multi-floor building by 40–60% relative to no assistance, at a hardware cost under $50 per beacon (3–4 beacons per zone).</w:t>
      </w:r>
    </w:p>
    <w:p>
      <w:pPr>
        <w:jc w:val="both"/>
      </w:pPr>
      <w:r>
        <w:rPr>
          <w:b/>
        </w:rPr>
        <w:t xml:space="preserve">Negative externalities (effects on non-stakeholders): </w:t>
      </w:r>
      <w:r>
        <w:rPr>
          <w:b w:val="0"/>
        </w:rPr>
        <w:t>Continuous BLE scanning increases smartphone battery drain by an estimated 5–10%, affecting device longevity for users who run the app in the background. Persistent BLE advertisement by deployed beacons introduces low-level RF congestion in the 2.4 GHz band, which may marginally degrade Wi-Fi throughput for non-users in the same space. Additionally, a permanently deployed indoor positioning infrastructure creates a passive location-tracking surface that, if the backend were compromised, could expose movement patterns of building occupants — raising privacy concerns for non-consenting individuals who simply occupy the same space.</w:t>
      </w:r>
    </w:p>
    <w:p>
      <w:pPr>
        <w:spacing w:before="160" w:after="60"/>
      </w:pPr>
      <w:r>
        <w:rPr>
          <w:b/>
          <w:color w:val="1F3B73"/>
          <w:sz w:val="23"/>
        </w:rPr>
        <w:t>2. System Design</w:t>
      </w:r>
    </w:p>
    <w:p>
      <w:pPr>
        <w:jc w:val="both"/>
      </w:pPr>
      <w:r>
        <w:rPr>
          <w:b w:val="0"/>
        </w:rPr>
        <w:t xml:space="preserve">The final system comprises three tightly coupled subsystems: a </w:t>
      </w:r>
      <w:r>
        <w:rPr>
          <w:b/>
        </w:rPr>
        <w:t>BLE scanning client</w:t>
      </w:r>
      <w:r>
        <w:rPr>
          <w:b w:val="0"/>
        </w:rPr>
        <w:t xml:space="preserve"> (React Native mobile app), a </w:t>
      </w:r>
      <w:r>
        <w:rPr>
          <w:b/>
        </w:rPr>
        <w:t>signal processing backend</w:t>
      </w:r>
      <w:r>
        <w:rPr>
          <w:b w:val="0"/>
        </w:rPr>
        <w:t xml:space="preserve"> (Python/Flask server), and a </w:t>
      </w:r>
      <w:r>
        <w:rPr>
          <w:b/>
        </w:rPr>
        <w:t>calibration subsystem</w:t>
      </w:r>
      <w:r>
        <w:rPr>
          <w:b w:val="0"/>
        </w:rPr>
        <w:t xml:space="preserve"> that bridges hardware variability to algorithm parameters.</w:t>
      </w:r>
    </w:p>
    <w:tbl>
      <w:tblPr>
        <w:tblStyle w:val="LightGrid-Accent1"/>
        <w:tblW w:type="auto" w:w="0"/>
        <w:jc w:val="center"/>
        <w:tblLook w:firstColumn="1" w:firstRow="1" w:lastColumn="0" w:lastRow="0" w:noHBand="0" w:noVBand="1" w:val="04A0"/>
      </w:tblPr>
      <w:tblGrid>
        <w:gridCol w:w="3312"/>
        <w:gridCol w:w="3312"/>
        <w:gridCol w:w="3312"/>
      </w:tblGrid>
      <w:tr>
        <w:tc>
          <w:tcPr>
            <w:tcW w:type="dxa" w:w="1728"/>
          </w:tcPr>
          <w:p>
            <w:pPr>
              <w:spacing w:after="20"/>
            </w:pPr>
            <w:r>
              <w:rPr>
                <w:b/>
                <w:sz w:val="17"/>
              </w:rPr>
              <w:t>Subsystem</w:t>
            </w:r>
          </w:p>
        </w:tc>
        <w:tc>
          <w:tcPr>
            <w:tcW w:type="dxa" w:w="4608"/>
          </w:tcPr>
          <w:p>
            <w:pPr>
              <w:spacing w:after="20"/>
            </w:pPr>
            <w:r>
              <w:rPr>
                <w:b/>
                <w:sz w:val="17"/>
              </w:rPr>
              <w:t>Design Decision</w:t>
            </w:r>
          </w:p>
        </w:tc>
        <w:tc>
          <w:tcPr>
            <w:tcW w:type="dxa" w:w="3744"/>
          </w:tcPr>
          <w:p>
            <w:pPr>
              <w:spacing w:after="20"/>
            </w:pPr>
            <w:r>
              <w:rPr>
                <w:b/>
                <w:sz w:val="17"/>
              </w:rPr>
              <w:t>Constraint Satisfied</w:t>
            </w:r>
          </w:p>
        </w:tc>
      </w:tr>
      <w:tr>
        <w:tc>
          <w:tcPr>
            <w:tcW w:type="dxa" w:w="1728"/>
          </w:tcPr>
          <w:p>
            <w:pPr>
              <w:spacing w:after="20"/>
            </w:pPr>
            <w:r>
              <w:rPr>
                <w:sz w:val="17"/>
              </w:rPr>
              <w:t>Distance estimation</w:t>
            </w:r>
          </w:p>
        </w:tc>
        <w:tc>
          <w:tcPr>
            <w:tcW w:type="dxa" w:w="4608"/>
          </w:tcPr>
          <w:p>
            <w:pPr>
              <w:spacing w:after="20"/>
            </w:pPr>
            <w:r>
              <w:rPr>
                <w:sz w:val="17"/>
              </w:rPr>
              <w:t>Log-distance path loss model (d = 10^((RSSI_D0 − RSSI)/(10·N))) with calibrated RSSI_D0 = −63 dBm, N = 2.3</w:t>
            </w:r>
          </w:p>
        </w:tc>
        <w:tc>
          <w:tcPr>
            <w:tcW w:type="dxa" w:w="3744"/>
          </w:tcPr>
          <w:p>
            <w:pPr>
              <w:spacing w:after="20"/>
            </w:pPr>
            <w:r>
              <w:rPr>
                <w:sz w:val="17"/>
              </w:rPr>
              <w:t>Maps raw RSSI to meters; accounts for indoor multipath</w:t>
            </w:r>
          </w:p>
        </w:tc>
      </w:tr>
      <w:tr>
        <w:tc>
          <w:tcPr>
            <w:tcW w:type="dxa" w:w="1728"/>
          </w:tcPr>
          <w:p>
            <w:pPr>
              <w:spacing w:after="20"/>
            </w:pPr>
            <w:r>
              <w:rPr>
                <w:sz w:val="17"/>
              </w:rPr>
              <w:t>Position solving</w:t>
            </w:r>
          </w:p>
        </w:tc>
        <w:tc>
          <w:tcPr>
            <w:tcW w:type="dxa" w:w="4608"/>
          </w:tcPr>
          <w:p>
            <w:pPr>
              <w:spacing w:after="20"/>
            </w:pPr>
            <w:r>
              <w:rPr>
                <w:sz w:val="17"/>
              </w:rPr>
              <w:t>Least-squares 2D trilateration via numpy.linalg.lstsq with 3+ beacons</w:t>
            </w:r>
          </w:p>
        </w:tc>
        <w:tc>
          <w:tcPr>
            <w:tcW w:type="dxa" w:w="3744"/>
          </w:tcPr>
          <w:p>
            <w:pPr>
              <w:spacing w:after="20"/>
            </w:pPr>
            <w:r>
              <w:rPr>
                <w:sz w:val="17"/>
              </w:rPr>
              <w:t>Overdetermined system improves accuracy; degrades gracefully to 3-beacon minimum</w:t>
            </w:r>
          </w:p>
        </w:tc>
      </w:tr>
      <w:tr>
        <w:tc>
          <w:tcPr>
            <w:tcW w:type="dxa" w:w="1728"/>
          </w:tcPr>
          <w:p>
            <w:pPr>
              <w:spacing w:after="20"/>
            </w:pPr>
            <w:r>
              <w:rPr>
                <w:sz w:val="17"/>
              </w:rPr>
              <w:t>Noise filtering</w:t>
            </w:r>
          </w:p>
        </w:tc>
        <w:tc>
          <w:tcPr>
            <w:tcW w:type="dxa" w:w="4608"/>
          </w:tcPr>
          <w:p>
            <w:pPr>
              <w:spacing w:after="20"/>
            </w:pPr>
            <w:r>
              <w:rPr>
                <w:sz w:val="17"/>
              </w:rPr>
              <w:t>4D Kalman filter (state: [x, y, vx, vy]) with Innovation-based Adaptive Estimation (IAE) for measurement noise R</w:t>
            </w:r>
          </w:p>
        </w:tc>
        <w:tc>
          <w:tcPr>
            <w:tcW w:type="dxa" w:w="3744"/>
          </w:tcPr>
          <w:p>
            <w:pPr>
              <w:spacing w:after="20"/>
            </w:pPr>
            <w:r>
              <w:rPr>
                <w:sz w:val="17"/>
              </w:rPr>
              <w:t>Smooths trilateration jitter without a priori noise tuning</w:t>
            </w:r>
          </w:p>
        </w:tc>
      </w:tr>
      <w:tr>
        <w:tc>
          <w:tcPr>
            <w:tcW w:type="dxa" w:w="1728"/>
          </w:tcPr>
          <w:p>
            <w:pPr>
              <w:spacing w:after="20"/>
            </w:pPr>
            <w:r>
              <w:rPr>
                <w:sz w:val="17"/>
              </w:rPr>
              <w:t>Beacon selection</w:t>
            </w:r>
          </w:p>
        </w:tc>
        <w:tc>
          <w:tcPr>
            <w:tcW w:type="dxa" w:w="4608"/>
          </w:tcPr>
          <w:p>
            <w:pPr>
              <w:spacing w:after="20"/>
            </w:pPr>
            <w:r>
              <w:rPr>
                <w:sz w:val="17"/>
              </w:rPr>
              <w:t>Hysteresis algorithm (10 dB swap threshold) on the client side</w:t>
            </w:r>
          </w:p>
        </w:tc>
        <w:tc>
          <w:tcPr>
            <w:tcW w:type="dxa" w:w="3744"/>
          </w:tcPr>
          <w:p>
            <w:pPr>
              <w:spacing w:after="20"/>
            </w:pPr>
            <w:r>
              <w:rPr>
                <w:sz w:val="17"/>
              </w:rPr>
              <w:t>Prevents rapid beacon set flipping that destabilizes estimates</w:t>
            </w:r>
          </w:p>
        </w:tc>
      </w:tr>
      <w:tr>
        <w:tc>
          <w:tcPr>
            <w:tcW w:type="dxa" w:w="1728"/>
          </w:tcPr>
          <w:p>
            <w:pPr>
              <w:spacing w:after="20"/>
            </w:pPr>
            <w:r>
              <w:rPr>
                <w:sz w:val="17"/>
              </w:rPr>
              <w:t>Calibration</w:t>
            </w:r>
          </w:p>
        </w:tc>
        <w:tc>
          <w:tcPr>
            <w:tcW w:type="dxa" w:w="4608"/>
          </w:tcPr>
          <w:p>
            <w:pPr>
              <w:spacing w:after="20"/>
            </w:pPr>
            <w:r>
              <w:rPr>
                <w:sz w:val="17"/>
              </w:rPr>
              <w:t>Empirical RSSI sampling at known distances → statistical noise analysis → suggested Q/R initialization</w:t>
            </w:r>
          </w:p>
        </w:tc>
        <w:tc>
          <w:tcPr>
            <w:tcW w:type="dxa" w:w="3744"/>
          </w:tcPr>
          <w:p>
            <w:pPr>
              <w:spacing w:after="20"/>
            </w:pPr>
            <w:r>
              <w:rPr>
                <w:sz w:val="17"/>
              </w:rPr>
              <w:t>Adapts system to site-specific RF environment without manual tuning</w:t>
            </w:r>
          </w:p>
        </w:tc>
      </w:tr>
    </w:tbl>
    <w:p>
      <w:pPr>
        <w:spacing w:after="20"/>
      </w:pPr>
    </w:p>
    <w:p>
      <w:pPr>
        <w:jc w:val="both"/>
      </w:pPr>
      <w:r>
        <w:rPr>
          <w:b/>
        </w:rPr>
        <w:t xml:space="preserve">System-level cost/benefit: </w:t>
      </w:r>
      <w:r>
        <w:rPr>
          <w:b w:val="0"/>
        </w:rPr>
        <w:t>deploying 3–4 beacons per zone at ~$30–50 each yields a total infrastructure cost of under $200 per navigable area. The adaptive Kalman filter eliminates the need for manual re-tuning when environmental RF conditions change, reducing maintenance burden. The phone-to-backend architecture keeps computation off the resource-constrained mobile device while enabling rapid algorithm iteration on the server side.</w:t>
      </w:r>
    </w:p>
    <w:p>
      <w:pPr>
        <w:spacing w:before="160" w:after="60"/>
      </w:pPr>
      <w:r>
        <w:rPr>
          <w:b/>
          <w:color w:val="1F3B73"/>
          <w:sz w:val="23"/>
        </w:rPr>
        <w:t>3. Project Plan</w:t>
      </w:r>
    </w:p>
    <w:p>
      <w:pPr>
        <w:jc w:val="both"/>
      </w:pPr>
      <w:r>
        <w:rPr>
          <w:b w:val="0"/>
        </w:rPr>
        <w:t>Our PDR established the following milestone sequence: (1) hardware procurement and BLE scanning prototype, (2) trilateration algorithm validation with static beacons, (3) Kalman filter integration and parameter tuning, (4) mobile UI completion, and (5) full system integration and demo-day testing.</w:t>
      </w:r>
    </w:p>
    <w:p>
      <w:pPr>
        <w:jc w:val="both"/>
      </w:pPr>
      <w:r>
        <w:rPr>
          <w:b/>
        </w:rPr>
        <w:t xml:space="preserve">Successes: </w:t>
      </w:r>
      <w:r>
        <w:rPr>
          <w:b w:val="0"/>
        </w:rPr>
        <w:t>Milestones 1–4 were completed on schedule. The core trilateration pipeline, Kalman filtering with adaptive R estimation, and the calibration subsystem all performed as specified. The React Native app supports both iOS and Android with platform-specific BLE handling, and the Flask backend is fully functional with 12 REST endpoints.</w:t>
      </w:r>
    </w:p>
    <w:p>
      <w:pPr>
        <w:jc w:val="both"/>
      </w:pPr>
      <w:r>
        <w:rPr>
          <w:b/>
        </w:rPr>
        <w:t xml:space="preserve">Modifications and misses: </w:t>
      </w:r>
      <w:r>
        <w:rPr>
          <w:b w:val="0"/>
        </w:rPr>
        <w:t>The original plan included a fully autonomous beacon coordinate configuration workflow; this was simplified — beacon coordinates currently require manual entry in both the backend config and the mobile app, representing a usability gap for non-technical deployers. The planned quantitative accuracy benchmarking (ground-truth position error across a grid) was partially completed; full systematic error characterization across the Boelter Hall floorplan remains an open item.</w:t>
      </w:r>
    </w:p>
    <w:p>
      <w:pPr>
        <w:jc w:val="both"/>
      </w:pPr>
      <w:r>
        <w:rPr>
          <w:b/>
        </w:rPr>
        <w:t xml:space="preserve">FDR placement in the development cycle: </w:t>
      </w:r>
      <w:r>
        <w:rPr>
          <w:b w:val="0"/>
        </w:rPr>
        <w:t>The project currently sits at the end of the engineering prototype phase. The core system is functional and demonstrates the intended capability, but it is not yet at manufacturing readiness — remaining work includes automated beacon discovery and coordinate registration, rigorous multi-environment accuracy validation, and battery impact optimization on the mobile client. A follow-on design cycle would be required before commercial deployment.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