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2"/>
        </w:rPr>
        <w:t>Executive Summary</w:t>
      </w:r>
    </w:p>
    <w:p>
      <w:pPr>
        <w:spacing w:after="40"/>
        <w:jc w:val="center"/>
      </w:pPr>
      <w:r>
        <w:rPr>
          <w:b/>
          <w:i w:val="0"/>
          <w:sz w:val="24"/>
        </w:rPr>
        <w:t>BLE Indoor Localization &amp; Navigation System</w:t>
      </w:r>
    </w:p>
    <w:p>
      <w:pPr>
        <w:spacing w:after="40"/>
        <w:jc w:val="center"/>
      </w:pPr>
      <w:r>
        <w:rPr>
          <w:b w:val="0"/>
          <w:i/>
          <w:sz w:val="20"/>
        </w:rPr>
        <w:t>ECE180DA — Systems Design I, Winter 2026</w:t>
      </w:r>
    </w:p>
    <w:p>
      <w:pPr>
        <w:spacing w:after="100"/>
        <w:jc w:val="center"/>
      </w:pPr>
      <w:r>
        <w:rPr>
          <w:sz w:val="18"/>
        </w:rPr>
        <w:t>Authors: [Team Member Names]*</w:t>
      </w:r>
    </w:p>
    <w:p>
      <w:pPr>
        <w:spacing w:before="140" w:after="40"/>
      </w:pPr>
      <w:r>
        <w:rPr>
          <w:b/>
          <w:color w:val="1F3B73"/>
          <w:sz w:val="22"/>
        </w:rPr>
        <w:t>1. Requirements</w:t>
      </w:r>
    </w:p>
    <w:p>
      <w:pPr>
        <w:spacing w:after="80"/>
        <w:jc w:val="both"/>
      </w:pPr>
      <w:r>
        <w:rPr>
          <w:b w:val="0"/>
        </w:rPr>
        <w:t>Indoor wayfinding is unsolved in large multi-floor buildings where GPS does not penetrate. Our motivating context is UCLA's Boelter Hall, where students, visitors, and staff regularly fail to locate rooms across its 6th and 8th floors. The root cause is the absence of an affordable positioning layer that works indoors without dedicated infrastructure. Our primary stakeholders are building occupants needing turn-by-turn guidance; secondary stakeholders are facility managers who want coverage analytics, and first responders who need localization in GPS-denied spaces.</w:t>
      </w:r>
    </w:p>
    <w:p>
      <w:pPr>
        <w:spacing w:after="80"/>
        <w:jc w:val="both"/>
      </w:pPr>
      <w:r>
        <w:rPr>
          <w:b w:val="0"/>
        </w:rPr>
        <w:t xml:space="preserve">Our final design delivers real-time position tracking and on-path navigation using commodity Bluetooth Low Energy (BLE) beacons and a standard smartphone. The refined specification targets room-level guidance — keeping the user reliably on the correct corridor and floor — at a hardware cost under $50 per beacon (13 beacons cover the surveyed floor). </w:t>
      </w:r>
      <w:r>
        <w:rPr>
          <w:b/>
        </w:rPr>
        <w:t xml:space="preserve">Quantified outcome: </w:t>
      </w:r>
      <w:r>
        <w:rPr>
          <w:b w:val="0"/>
        </w:rPr>
        <w:t>on a 91-cell survey our system achieves a measured 4.67 m position RMSE (leave-one-out cross-validation), which, combined with walkable-path constraint and routing, is sufficient for corridor-level wayfinding though short of true room-level (sub-3 m) accuracy.</w:t>
      </w:r>
    </w:p>
    <w:p>
      <w:pPr>
        <w:spacing w:after="80"/>
        <w:jc w:val="both"/>
      </w:pPr>
      <w:r>
        <w:rPr>
          <w:b/>
        </w:rPr>
        <w:t xml:space="preserve">Negative externalities (effects on non-stakeholders): </w:t>
      </w:r>
      <w:r>
        <w:rPr>
          <w:b w:val="0"/>
        </w:rPr>
        <w:t>Continuous BLE scanning raises smartphone battery drain an estimated 5–10%, shortening device runtime for users. Persistent beacon advertisement adds low-level congestion to the shared 2.4 GHz band, which can marginally reduce Wi-Fi throughput for nearby non-users. Finally, a permanently installed survey-based positioning system constitutes a passive location-tracking surface: if the fingerprint backend were compromised, the movement of building occupants who never opted in could be inferred, a privacy concern for non-consenting bystanders.</w:t>
      </w:r>
    </w:p>
    <w:p>
      <w:pPr>
        <w:spacing w:before="140" w:after="40"/>
      </w:pPr>
      <w:r>
        <w:rPr>
          <w:b/>
          <w:color w:val="1F3B73"/>
          <w:sz w:val="22"/>
        </w:rPr>
        <w:t>2. System Design</w:t>
      </w:r>
    </w:p>
    <w:p>
      <w:pPr>
        <w:spacing w:after="80"/>
        <w:jc w:val="both"/>
      </w:pPr>
      <w:r>
        <w:rPr>
          <w:b w:val="0"/>
        </w:rPr>
        <w:t xml:space="preserve">Over the design process we pivoted from pure RSSI trilateration to a </w:t>
      </w:r>
      <w:r>
        <w:rPr>
          <w:b/>
        </w:rPr>
        <w:t>fingerprinting</w:t>
      </w:r>
      <w:r>
        <w:rPr>
          <w:b w:val="0"/>
        </w:rPr>
        <w:t xml:space="preserve"> architecture with path-constrained routing, because trilateration's path-loss distance estimates proved too noisy indoors due to multipath. The final system has four subsystems: a React Native </w:t>
      </w:r>
      <w:r>
        <w:rPr>
          <w:b/>
        </w:rPr>
        <w:t>survey &amp; navigation client</w:t>
      </w:r>
      <w:r>
        <w:rPr>
          <w:b w:val="0"/>
        </w:rPr>
        <w:t xml:space="preserve">, a Flask </w:t>
      </w:r>
      <w:r>
        <w:rPr>
          <w:b/>
        </w:rPr>
        <w:t>fingerprint/matching backend</w:t>
      </w:r>
      <w:r>
        <w:rPr>
          <w:b w:val="0"/>
        </w:rPr>
        <w:t xml:space="preserve">, a </w:t>
      </w:r>
      <w:r>
        <w:rPr>
          <w:b/>
        </w:rPr>
        <w:t>Kalman smoothing + path-constraint</w:t>
      </w:r>
      <w:r>
        <w:rPr>
          <w:b w:val="0"/>
        </w:rPr>
        <w:t xml:space="preserve"> stage, and a </w:t>
      </w:r>
      <w:r>
        <w:rPr>
          <w:b/>
        </w:rPr>
        <w:t>routing</w:t>
      </w:r>
      <w:r>
        <w:rPr>
          <w:b w:val="0"/>
        </w:rPr>
        <w:t xml:space="preserve"> engine.</w:t>
      </w:r>
    </w:p>
    <w:tbl>
      <w:tblPr>
        <w:tblStyle w:val="LightGrid-Accent1"/>
        <w:tblW w:type="auto" w:w="0"/>
        <w:jc w:val="center"/>
        <w:tblLook w:firstColumn="1" w:firstRow="1" w:lastColumn="0" w:lastRow="0" w:noHBand="0" w:noVBand="1" w:val="04A0"/>
      </w:tblPr>
      <w:tblGrid>
        <w:gridCol w:w="3360"/>
        <w:gridCol w:w="3360"/>
        <w:gridCol w:w="3360"/>
      </w:tblGrid>
      <w:tr>
        <w:tc>
          <w:tcPr>
            <w:tcW w:type="dxa" w:w="2160"/>
          </w:tcPr>
          <w:p>
            <w:pPr>
              <w:spacing w:after="20"/>
            </w:pPr>
            <w:r>
              <w:rPr>
                <w:b/>
                <w:sz w:val="16"/>
              </w:rPr>
              <w:t>Subsystem / Decision</w:t>
            </w:r>
          </w:p>
        </w:tc>
        <w:tc>
          <w:tcPr>
            <w:tcW w:type="dxa" w:w="4752"/>
          </w:tcPr>
          <w:p>
            <w:pPr>
              <w:spacing w:after="20"/>
            </w:pPr>
            <w:r>
              <w:rPr>
                <w:b/>
                <w:sz w:val="16"/>
              </w:rPr>
              <w:t>What it does</w:t>
            </w:r>
          </w:p>
        </w:tc>
        <w:tc>
          <w:tcPr>
            <w:tcW w:type="dxa" w:w="3456"/>
          </w:tcPr>
          <w:p>
            <w:pPr>
              <w:spacing w:after="20"/>
            </w:pPr>
            <w:r>
              <w:rPr>
                <w:b/>
                <w:sz w:val="16"/>
              </w:rPr>
              <w:t>Constraint satisfied</w:t>
            </w:r>
          </w:p>
        </w:tc>
      </w:tr>
      <w:tr>
        <w:tc>
          <w:tcPr>
            <w:tcW w:type="dxa" w:w="2160"/>
          </w:tcPr>
          <w:p>
            <w:pPr>
              <w:spacing w:after="20"/>
            </w:pPr>
            <w:r>
              <w:rPr>
                <w:sz w:val="16"/>
              </w:rPr>
              <w:t>Site survey (raw RSSI)</w:t>
            </w:r>
          </w:p>
        </w:tc>
        <w:tc>
          <w:tcPr>
            <w:tcW w:type="dxa" w:w="4752"/>
          </w:tcPr>
          <w:p>
            <w:pPr>
              <w:spacing w:after="20"/>
            </w:pPr>
            <w:r>
              <w:rPr>
                <w:sz w:val="16"/>
              </w:rPr>
              <w:t>User stands at known grid cells; app buffers raw per-beacon RSSI (no smoothing). Multi-session safe via per-phone session_id.</w:t>
            </w:r>
          </w:p>
        </w:tc>
        <w:tc>
          <w:tcPr>
            <w:tcW w:type="dxa" w:w="3456"/>
          </w:tcPr>
          <w:p>
            <w:pPr>
              <w:spacing w:after="20"/>
            </w:pPr>
            <w:r>
              <w:rPr>
                <w:sz w:val="16"/>
              </w:rPr>
              <w:t>Captures true sensor-noise variance; 91 cells × 13 beacons collected.</w:t>
            </w:r>
          </w:p>
        </w:tc>
      </w:tr>
      <w:tr>
        <w:tc>
          <w:tcPr>
            <w:tcW w:type="dxa" w:w="2160"/>
          </w:tcPr>
          <w:p>
            <w:pPr>
              <w:spacing w:after="20"/>
            </w:pPr>
            <w:r>
              <w:rPr>
                <w:sz w:val="16"/>
              </w:rPr>
              <w:t>Fingerprint matcher (kNN)</w:t>
            </w:r>
          </w:p>
        </w:tc>
        <w:tc>
          <w:tcPr>
            <w:tcW w:type="dxa" w:w="4752"/>
          </w:tcPr>
          <w:p>
            <w:pPr>
              <w:spacing w:after="20"/>
            </w:pPr>
            <w:r>
              <w:rPr>
                <w:sz w:val="16"/>
              </w:rPr>
              <w:t>Euclidean nearest-neighbor in RSSI space; position = inverse-distance-weighted centroid of top-4 cells. Unheard beacons → floor RSSI (−110 dBm).</w:t>
            </w:r>
          </w:p>
        </w:tc>
        <w:tc>
          <w:tcPr>
            <w:tcW w:type="dxa" w:w="3456"/>
          </w:tcPr>
          <w:p>
            <w:pPr>
              <w:spacing w:after="20"/>
            </w:pPr>
            <w:r>
              <w:rPr>
                <w:sz w:val="16"/>
              </w:rPr>
              <w:t>Interpolates between survey points; robust to dropped beacons. Measured RMSE 4.67 m.</w:t>
            </w:r>
          </w:p>
        </w:tc>
      </w:tr>
      <w:tr>
        <w:tc>
          <w:tcPr>
            <w:tcW w:type="dxa" w:w="2160"/>
          </w:tcPr>
          <w:p>
            <w:pPr>
              <w:spacing w:after="20"/>
            </w:pPr>
            <w:r>
              <w:rPr>
                <w:sz w:val="16"/>
              </w:rPr>
              <w:t>Measurement noise R</w:t>
            </w:r>
          </w:p>
        </w:tc>
        <w:tc>
          <w:tcPr>
            <w:tcW w:type="dxa" w:w="4752"/>
          </w:tcPr>
          <w:p>
            <w:pPr>
              <w:spacing w:after="20"/>
            </w:pPr>
            <w:r>
              <w:rPr>
                <w:sz w:val="16"/>
              </w:rPr>
              <w:t>Estimated by leave-one-out cross-validation on the survey, not guessed.</w:t>
            </w:r>
          </w:p>
        </w:tc>
        <w:tc>
          <w:tcPr>
            <w:tcW w:type="dxa" w:w="3456"/>
          </w:tcPr>
          <w:p>
            <w:pPr>
              <w:spacing w:after="20"/>
            </w:pPr>
            <w:r>
              <w:rPr>
                <w:sz w:val="16"/>
              </w:rPr>
              <w:t>Seeds Kalman R with empirical std: 2.55 m (x), 3.91 m (y).</w:t>
            </w:r>
          </w:p>
        </w:tc>
      </w:tr>
      <w:tr>
        <w:tc>
          <w:tcPr>
            <w:tcW w:type="dxa" w:w="2160"/>
          </w:tcPr>
          <w:p>
            <w:pPr>
              <w:spacing w:after="20"/>
            </w:pPr>
            <w:r>
              <w:rPr>
                <w:sz w:val="16"/>
              </w:rPr>
              <w:t>4D Kalman filter</w:t>
            </w:r>
          </w:p>
        </w:tc>
        <w:tc>
          <w:tcPr>
            <w:tcW w:type="dxa" w:w="4752"/>
          </w:tcPr>
          <w:p>
            <w:pPr>
              <w:spacing w:after="20"/>
            </w:pPr>
            <w:r>
              <w:rPr>
                <w:sz w:val="16"/>
              </w:rPr>
              <w:t>Constant-velocity + white-noise-acceleration model (σ_a = 0.5 m/s²); R from LOO estimate.</w:t>
            </w:r>
          </w:p>
        </w:tc>
        <w:tc>
          <w:tcPr>
            <w:tcW w:type="dxa" w:w="3456"/>
          </w:tcPr>
          <w:p>
            <w:pPr>
              <w:spacing w:after="20"/>
            </w:pPr>
            <w:r>
              <w:rPr>
                <w:sz w:val="16"/>
              </w:rPr>
              <w:t>Smooths match jitter without manual tuning; snappiness tunable via σ_a.</w:t>
            </w:r>
          </w:p>
        </w:tc>
      </w:tr>
      <w:tr>
        <w:tc>
          <w:tcPr>
            <w:tcW w:type="dxa" w:w="2160"/>
          </w:tcPr>
          <w:p>
            <w:pPr>
              <w:spacing w:after="20"/>
            </w:pPr>
            <w:r>
              <w:rPr>
                <w:sz w:val="16"/>
              </w:rPr>
              <w:t>Routing + path constraint</w:t>
            </w:r>
          </w:p>
        </w:tc>
        <w:tc>
          <w:tcPr>
            <w:tcW w:type="dxa" w:w="4752"/>
          </w:tcPr>
          <w:p>
            <w:pPr>
              <w:spacing w:after="20"/>
            </w:pPr>
            <w:r>
              <w:rPr>
                <w:sz w:val="16"/>
              </w:rPr>
              <w:t>Dijkstra over a walkable-path polyline; snaps estimate to nearest path point.</w:t>
            </w:r>
          </w:p>
        </w:tc>
        <w:tc>
          <w:tcPr>
            <w:tcW w:type="dxa" w:w="3456"/>
          </w:tcPr>
          <w:p>
            <w:pPr>
              <w:spacing w:after="20"/>
            </w:pPr>
            <w:r>
              <w:rPr>
                <w:sz w:val="16"/>
              </w:rPr>
              <w:t>Keeps the user on real corridors; powers 6F/8F turn-by-turn navigation.</w:t>
            </w:r>
          </w:p>
        </w:tc>
      </w:tr>
    </w:tbl>
    <w:p>
      <w:pPr>
        <w:spacing w:after="20"/>
      </w:pPr>
    </w:p>
    <w:p>
      <w:pPr>
        <w:spacing w:after="80"/>
        <w:jc w:val="both"/>
      </w:pPr>
      <w:r>
        <w:rPr>
          <w:b/>
        </w:rPr>
        <w:t xml:space="preserve">System-level cost/benefit: </w:t>
      </w:r>
      <w:r>
        <w:rPr>
          <w:b w:val="0"/>
        </w:rPr>
        <w:t>one ~$200 beacon set plus a one-time survey yields full-floor navigation on hardware users already own. The fingerprint + LOO-estimated R pipeline removes per-deployment manual tuning, and the path constraint converts a 4.67 m raw estimate into usable corridor-level guidance — the dominant Y-axis error (3.91 m) is largely absorbed once the position is snapped to the walkable polyline.</w:t>
      </w:r>
    </w:p>
    <w:p>
      <w:pPr>
        <w:spacing w:before="140" w:after="40"/>
      </w:pPr>
      <w:r>
        <w:rPr>
          <w:b/>
          <w:color w:val="1F3B73"/>
          <w:sz w:val="22"/>
        </w:rPr>
        <w:t>3. Project Plan</w:t>
      </w:r>
    </w:p>
    <w:p>
      <w:pPr>
        <w:spacing w:after="80"/>
        <w:jc w:val="both"/>
      </w:pPr>
      <w:r>
        <w:rPr>
          <w:b w:val="0"/>
        </w:rPr>
        <w:t>Our PDR milestones were: (1) BLE scanning prototype, (2) trilateration positioning, (3) Kalman smoothing, (4) mobile UI, and (5) integrated demo. Execution diverged from this plan in one major, deliberate way.</w:t>
      </w:r>
    </w:p>
    <w:p>
      <w:pPr>
        <w:spacing w:after="80"/>
        <w:jc w:val="both"/>
      </w:pPr>
      <w:r>
        <w:rPr>
          <w:b/>
        </w:rPr>
        <w:t xml:space="preserve">Successes: </w:t>
      </w:r>
      <w:r>
        <w:rPr>
          <w:b w:val="0"/>
        </w:rPr>
        <w:t>BLE scanning, Kalman smoothing, and the mobile client were delivered. We exceeded the original scope by adding a full site-survey workflow, a leave-one-out R-estimation pipeline, an 11-figure analysis suite (RSSI heatmaps, path-loss fit, error maps, coverage, residual ellipses), and real 6th/8th-floor turn-by-turn routing — none of which were in the PDR.</w:t>
      </w:r>
    </w:p>
    <w:p>
      <w:pPr>
        <w:spacing w:after="80"/>
        <w:jc w:val="both"/>
      </w:pPr>
      <w:r>
        <w:rPr>
          <w:b/>
        </w:rPr>
        <w:t xml:space="preserve">Modified / missed objectives: </w:t>
      </w:r>
      <w:r>
        <w:rPr>
          <w:b w:val="0"/>
        </w:rPr>
        <w:t>Milestone 2 (trilateration) was abandoned mid-project: our measurements showed indoor multipath made path-loss distance estimates unreliable, so we pivoted to fingerprinting. This was the right call for accuracy but cost calendar time, and it means the deleted trilateration/calibration modules represent sunk effort. The sub-3 m room-level accuracy target was not met (measured 4.67 m RMSE); full systematic error characterization exists for one floor but not yet across both deployed floors.</w:t>
      </w:r>
    </w:p>
    <w:p>
      <w:pPr>
        <w:spacing w:after="80"/>
        <w:jc w:val="both"/>
      </w:pPr>
      <w:r>
        <w:rPr>
          <w:b/>
        </w:rPr>
        <w:t xml:space="preserve">FDR placement in the development cycle: </w:t>
      </w:r>
      <w:r>
        <w:rPr>
          <w:b w:val="0"/>
        </w:rPr>
        <w:t>The project sits at the end of the engineering-prototype phase. The integrated survey → match → Kalman → route pipeline is functional and demonstrable, but not manufacturing-ready: remaining work includes automated beacon registration, tightening accuracy toward room level (denser survey grid and/or per-beacon variance weighting), and battery optimization on the client. A follow-on design cycle is warranted before any deployment beyond the Boelter Hall pilot.</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