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Gmail</w:t>
      </w:r>
      <w:r>
        <w:t xml:space="preserve"> </w:t>
      </w:r>
      <w:r>
        <w:t xml:space="preserve">Logs</w:t>
      </w:r>
      <w:r>
        <w:t xml:space="preserve"> </w:t>
      </w:r>
      <w:r>
        <w:t xml:space="preserve">in</w:t>
      </w:r>
      <w:r>
        <w:t xml:space="preserve"> </w:t>
      </w:r>
      <w:r>
        <w:t xml:space="preserve">BigQuery</w:t>
      </w:r>
      <w:r>
        <w:t xml:space="preserve"> </w:t>
      </w:r>
      <w:r>
        <w:t xml:space="preserve">—</w:t>
      </w:r>
      <w:r>
        <w:t xml:space="preserve"> </w:t>
      </w:r>
      <w:r>
        <w:t xml:space="preserve">Implementation</w:t>
      </w:r>
      <w:r>
        <w:t xml:space="preserve"> </w:t>
      </w:r>
      <w:r>
        <w:t xml:space="preserve">Runbook</w:t>
      </w:r>
    </w:p>
    <w:p>
      <w:pPr>
        <w:pStyle w:val="Subtitle"/>
      </w:pPr>
      <w:r>
        <w:t xml:space="preserve">Google</w:t>
      </w:r>
      <w:r>
        <w:t xml:space="preserve"> </w:t>
      </w:r>
      <w:r>
        <w:t xml:space="preserve">Workspace</w:t>
      </w:r>
      <w:r>
        <w:t xml:space="preserve"> </w:t>
      </w:r>
      <w:r>
        <w:t xml:space="preserve">→</w:t>
      </w:r>
      <w:r>
        <w:t xml:space="preserve"> </w:t>
      </w:r>
      <w:r>
        <w:t xml:space="preserve">BigQuery</w:t>
      </w:r>
    </w:p>
    <w:p>
      <w:pPr>
        <w:pStyle w:val="Author"/>
      </w:pPr>
      <w:r>
        <w:t xml:space="preserve">Helcim</w:t>
      </w:r>
      <w:r>
        <w:t xml:space="preserve"> </w:t>
      </w:r>
      <w:r>
        <w:t xml:space="preserve">IT</w:t>
      </w:r>
      <w:r>
        <w:t xml:space="preserve"> </w:t>
      </w:r>
      <w:r>
        <w:t xml:space="preserve">·</w:t>
      </w:r>
      <w:r>
        <w:t xml:space="preserve"> </w:t>
      </w:r>
      <w:r>
        <w:t xml:space="preserve">Requested</w:t>
      </w:r>
      <w:r>
        <w:t xml:space="preserve"> </w:t>
      </w:r>
      <w:r>
        <w:t xml:space="preserve">by</w:t>
      </w:r>
      <w:r>
        <w:t xml:space="preserve"> </w:t>
      </w:r>
      <w:r>
        <w:t xml:space="preserve">Neil</w:t>
      </w:r>
      <w:r>
        <w:t xml:space="preserve"> </w:t>
      </w:r>
      <w:r>
        <w:t xml:space="preserve">(via</w:t>
      </w:r>
      <w:r>
        <w:t xml:space="preserve"> </w:t>
      </w:r>
      <w:r>
        <w:t xml:space="preserve">Sam</w:t>
      </w:r>
      <w:r>
        <w:t xml:space="preserve"> </w:t>
      </w:r>
      <w:r>
        <w:t xml:space="preserve">Elliott)</w:t>
      </w:r>
      <w:r>
        <w:t xml:space="preserve"> </w:t>
      </w:r>
      <w:r>
        <w:t xml:space="preserve">·</w:t>
      </w:r>
      <w:r>
        <w:t xml:space="preserve"> </w:t>
      </w:r>
      <w:r>
        <w:t xml:space="preserve">Owner:</w:t>
      </w:r>
      <w:r>
        <w:t xml:space="preserve"> </w:t>
      </w:r>
      <w:r>
        <w:t xml:space="preserve">Abdi</w:t>
      </w:r>
      <w:r>
        <w:t xml:space="preserve"> </w:t>
      </w:r>
      <w:r>
        <w:t xml:space="preserve">Obsiye</w:t>
      </w:r>
    </w:p>
    <w:p>
      <w:pPr>
        <w:pStyle w:val="Date"/>
      </w:pPr>
      <w:r>
        <w:t xml:space="preserve">July</w:t>
      </w:r>
      <w:r>
        <w:t xml:space="preserve"> </w:t>
      </w:r>
      <w:r>
        <w:t xml:space="preserve">9,</w:t>
      </w:r>
      <w:r>
        <w:t xml:space="preserve"> </w:t>
      </w:r>
      <w:r>
        <w:t xml:space="preserve">2026</w:t>
      </w:r>
      <w:r>
        <w:t xml:space="preserve"> </w:t>
      </w:r>
      <w:r>
        <w:t xml:space="preserve">·</w:t>
      </w:r>
      <w:r>
        <w:t xml:space="preserve"> </w:t>
      </w:r>
      <w:r>
        <w:t xml:space="preserve">Status:</w:t>
      </w:r>
      <w:r>
        <w:t xml:space="preserve"> </w:t>
      </w:r>
      <w:r>
        <w:t xml:space="preserve">Draft</w:t>
      </w:r>
      <w:r>
        <w:t xml:space="preserve"> </w:t>
      </w:r>
      <w:r>
        <w:t xml:space="preserve">for</w:t>
      </w:r>
      <w:r>
        <w:t xml:space="preserve"> </w:t>
      </w:r>
      <w:r>
        <w:t xml:space="preserve">review</w:t>
      </w:r>
    </w:p>
    <w:p>
      <w:pPr>
        <w:pStyle w:val="Heading2"/>
      </w:pPr>
      <w:bookmarkStart w:id="20" w:name="summary"/>
      <w:r>
        <w:t xml:space="preserve">1. Summary</w:t>
      </w:r>
      <w:bookmarkEnd w:id="20"/>
    </w:p>
    <w:p>
      <w:pPr>
        <w:pStyle w:val="FirstParagraph"/>
      </w:pPr>
      <w:r>
        <w:rPr>
          <w:b/>
        </w:rPr>
        <w:t xml:space="preserve">Yes — Gmail logs can be streamed into BigQuery natively, with no custom pipeline.</w:t>
      </w:r>
      <w:r>
        <w:t xml:space="preserve"> </w:t>
      </w:r>
      <w:r>
        <w:t xml:space="preserve">Google Workspace has a built-in</w:t>
      </w:r>
      <w:r>
        <w:t xml:space="preserve"> </w:t>
      </w:r>
      <w:r>
        <w:rPr>
          <w:b/>
        </w:rPr>
        <w:t xml:space="preserve">BigQuery Export</w:t>
      </w:r>
      <w:r>
        <w:t xml:space="preserve"> </w:t>
      </w:r>
      <w:r>
        <w:t xml:space="preserve">(originally</w:t>
      </w:r>
      <w:r>
        <w:t xml:space="preserve"> </w:t>
      </w:r>
      <w:r>
        <w:t xml:space="preserve">“</w:t>
      </w:r>
      <w:r>
        <w:t xml:space="preserve">Gmail logs in BigQuery,</w:t>
      </w:r>
      <w:r>
        <w:t xml:space="preserve">”</w:t>
      </w:r>
      <w:r>
        <w:t xml:space="preserve"> </w:t>
      </w:r>
      <w:r>
        <w:t xml:space="preserve">now the unified</w:t>
      </w:r>
      <w:r>
        <w:t xml:space="preserve"> </w:t>
      </w:r>
      <w:r>
        <w:t xml:space="preserve">“</w:t>
      </w:r>
      <w:r>
        <w:t xml:space="preserve">Workspace logs and reports in BigQuery</w:t>
      </w:r>
      <w:r>
        <w:t xml:space="preserve">”</w:t>
      </w:r>
      <w:r>
        <w:t xml:space="preserve">). As super admin you can turn it on end to end in roughly 30–45 minutes; data begins landing within a day.</w:t>
      </w:r>
    </w:p>
    <w:p>
      <w:pPr>
        <w:pStyle w:val="BodyText"/>
      </w:pPr>
      <w:r>
        <w:rPr>
          <w:b/>
        </w:rPr>
        <w:t xml:space="preserve">One thing gates it: the Workspace edition.</w:t>
      </w:r>
      <w:r>
        <w:t xml:space="preserve"> </w:t>
      </w:r>
      <w:r>
        <w:t xml:space="preserve">The native export is only available on Enterprise, Education, Frontline, or Enterprise Essentials Plus tiers. Confirm Helcim’s tier first (Section 3); everything else below is standard admin work.</w:t>
      </w:r>
    </w:p>
    <w:p>
      <w:pPr>
        <w:pStyle w:val="BlockText"/>
      </w:pPr>
      <w:r>
        <w:rPr>
          <w:b/>
        </w:rPr>
        <w:t xml:space="preserve">Heads-up on scope.</w:t>
      </w:r>
      <w:r>
        <w:t xml:space="preserve"> </w:t>
      </w:r>
      <w:r>
        <w:t xml:space="preserve">This is a single, Workspace-wide switch. Turning it on exports log events for</w:t>
      </w:r>
      <w:r>
        <w:t xml:space="preserve"> </w:t>
      </w:r>
      <w:r>
        <w:rPr>
          <w:b/>
        </w:rPr>
        <w:t xml:space="preserve">all</w:t>
      </w:r>
      <w:r>
        <w:t xml:space="preserve"> </w:t>
      </w:r>
      <w:r>
        <w:t xml:space="preserve">supported services (Gmail, Drive, Login, Admin, Calendar, Chat, Meet, Chrome, and more) into one dataset — there is no Gmail-only toggle. You isolate Gmail at query time.</w:t>
      </w:r>
    </w:p>
    <w:p>
      <w:pPr>
        <w:pStyle w:val="Heading2"/>
      </w:pPr>
      <w:bookmarkStart w:id="21" w:name="what-this-actually-does"/>
      <w:r>
        <w:t xml:space="preserve">2. What this actually does</w:t>
      </w:r>
      <w:bookmarkEnd w:id="21"/>
    </w:p>
    <w:p>
      <w:pPr>
        <w:pStyle w:val="FirstParagraph"/>
      </w:pPr>
      <w:r>
        <w:t xml:space="preserve">The export continuously writes Workspace activity log events (and aggregate usage reports) into a BigQuery dataset you designate. For Gmail specifically, each row is a message/delivery event with fields such as sender, every recipient, subject, RFC 2822 message-id, delivery action, spam classification, TLS/connection info, attachments, and post-delivery actions (opens, link clicks, attachment downloads).</w:t>
      </w:r>
    </w:p>
    <w:p>
      <w:pPr>
        <w:pStyle w:val="BodyText"/>
      </w:pPr>
      <w:r>
        <w:rPr>
          <w:b/>
        </w:rPr>
        <w:t xml:space="preserve">Why BigQuery vs. the console:</w:t>
      </w:r>
      <w:r>
        <w:t xml:space="preserve"> </w:t>
      </w:r>
      <w:r>
        <w:t xml:space="preserve">the Admin console’s built-in Email Log Search only retains ~30 days. In BigQuery you keep and query history for as long as you configure, and can join it to other data. On enable, Google backfills 180 days of activity and 450 days of usage.</w:t>
      </w:r>
    </w:p>
    <w:p>
      <w:pPr>
        <w:pStyle w:val="Heading2"/>
      </w:pPr>
      <w:bookmarkStart w:id="22" w:name="prerequisites-including-the-edition-gate"/>
      <w:r>
        <w:t xml:space="preserve">3. Prerequisites — including the edition gate</w:t>
      </w:r>
      <w:bookmarkEnd w:id="2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Detail</w:t>
            </w:r>
          </w:p>
        </w:tc>
      </w:tr>
      <w:tr>
        <w:tc>
          <w:p>
            <w:pPr>
              <w:pStyle w:val="Compact"/>
              <w:jc w:val="left"/>
            </w:pPr>
            <w:r>
              <w:rPr>
                <w:b/>
              </w:rPr>
              <w:t xml:space="preserve">Workspace edition</w:t>
            </w:r>
          </w:p>
        </w:tc>
        <w:tc>
          <w:p>
            <w:pPr>
              <w:pStyle w:val="Compact"/>
              <w:jc w:val="left"/>
            </w:pPr>
            <w:r>
              <w:t xml:space="preserve">Must be Frontline Standard/Plus, Enterprise Standard/Plus, Education Standard/Plus, or Enterprise Essentials Plus. Verify at</w:t>
            </w:r>
            <w:r>
              <w:t xml:space="preserve"> </w:t>
            </w:r>
            <w:r>
              <w:rPr>
                <w:rStyle w:val="VerbatimChar"/>
              </w:rPr>
              <w:t xml:space="preserve">admin.google.com</w:t>
            </w:r>
            <w:r>
              <w:t xml:space="preserve"> </w:t>
            </w:r>
            <w:r>
              <w:t xml:space="preserve">→ Billing → Subscriptions. If Helcim is on a Business tier, the export is unavailable — see Section 8.</w:t>
            </w:r>
          </w:p>
        </w:tc>
      </w:tr>
      <w:tr>
        <w:tc>
          <w:p>
            <w:pPr>
              <w:pStyle w:val="Compact"/>
              <w:jc w:val="left"/>
            </w:pPr>
            <w:r>
              <w:rPr>
                <w:b/>
              </w:rPr>
              <w:t xml:space="preserve">Admin rights</w:t>
            </w:r>
          </w:p>
        </w:tc>
        <w:tc>
          <w:p>
            <w:pPr>
              <w:pStyle w:val="Compact"/>
              <w:jc w:val="left"/>
            </w:pPr>
            <w:r>
              <w:t xml:space="preserve">Google Workspace super admin with the Reports administrator privilege (you have this).</w:t>
            </w:r>
          </w:p>
        </w:tc>
      </w:tr>
      <w:tr>
        <w:tc>
          <w:p>
            <w:pPr>
              <w:pStyle w:val="Compact"/>
              <w:jc w:val="left"/>
            </w:pPr>
            <w:r>
              <w:rPr>
                <w:b/>
              </w:rPr>
              <w:t xml:space="preserve">GCP project</w:t>
            </w:r>
          </w:p>
        </w:tc>
        <w:tc>
          <w:p>
            <w:pPr>
              <w:pStyle w:val="Compact"/>
              <w:jc w:val="left"/>
            </w:pPr>
            <w:r>
              <w:t xml:space="preserve">A Cloud project to hold the dataset, with</w:t>
            </w:r>
            <w:r>
              <w:t xml:space="preserve"> </w:t>
            </w:r>
            <w:r>
              <w:rPr>
                <w:b/>
              </w:rPr>
              <w:t xml:space="preserve">billing enabled</w:t>
            </w:r>
            <w:r>
              <w:t xml:space="preserve">. Without billing the project runs in sandbox mode and log events are</w:t>
            </w:r>
            <w:r>
              <w:t xml:space="preserve"> </w:t>
            </w:r>
            <w:r>
              <w:rPr>
                <w:b/>
              </w:rPr>
              <w:t xml:space="preserve">not</w:t>
            </w:r>
            <w:r>
              <w:t xml:space="preserve"> </w:t>
            </w:r>
            <w:r>
              <w:t xml:space="preserve">exported.</w:t>
            </w:r>
          </w:p>
        </w:tc>
      </w:tr>
      <w:tr>
        <w:tc>
          <w:p>
            <w:pPr>
              <w:pStyle w:val="Compact"/>
              <w:jc w:val="left"/>
            </w:pPr>
            <w:r>
              <w:rPr>
                <w:b/>
              </w:rPr>
              <w:t xml:space="preserve">GCP IAM rights</w:t>
            </w:r>
          </w:p>
        </w:tc>
        <w:tc>
          <w:p>
            <w:pPr>
              <w:pStyle w:val="Compact"/>
              <w:jc w:val="left"/>
            </w:pPr>
            <w:r>
              <w:t xml:space="preserve">Owner or IAM-admin on that project, so you can grant the roles in Section 4.</w:t>
            </w:r>
          </w:p>
        </w:tc>
      </w:tr>
    </w:tbl>
    <w:p>
      <w:pPr>
        <w:pStyle w:val="Heading2"/>
      </w:pPr>
      <w:bookmarkStart w:id="23" w:name="X746b4546894cce4d8e48871412ad2ff212fba1c"/>
      <w:r>
        <w:t xml:space="preserve">4. Part A — Prepare the BigQuery project (Cloud console)</w:t>
      </w:r>
      <w:bookmarkEnd w:id="23"/>
    </w:p>
    <w:p>
      <w:pPr>
        <w:numPr>
          <w:ilvl w:val="0"/>
          <w:numId w:val="1001"/>
        </w:numPr>
        <w:pStyle w:val="Compact"/>
      </w:pPr>
      <w:r>
        <w:rPr>
          <w:b/>
        </w:rPr>
        <w:t xml:space="preserve">Choose the project.</w:t>
      </w:r>
      <w:r>
        <w:t xml:space="preserve"> </w:t>
      </w:r>
      <w:r>
        <w:t xml:space="preserve">Recommended: a</w:t>
      </w:r>
      <w:r>
        <w:t xml:space="preserve"> </w:t>
      </w:r>
      <w:r>
        <w:rPr>
          <w:b/>
        </w:rPr>
        <w:t xml:space="preserve">dedicated</w:t>
      </w:r>
      <w:r>
        <w:t xml:space="preserve"> </w:t>
      </w:r>
      <w:r>
        <w:t xml:space="preserve">project (e.g. </w:t>
      </w:r>
      <w:r>
        <w:rPr>
          <w:rStyle w:val="VerbatimChar"/>
        </w:rPr>
        <w:t xml:space="preserve">helcim-workspace-logs</w:t>
      </w:r>
      <w:r>
        <w:t xml:space="preserve">) separate from the analytics warehouse</w:t>
      </w:r>
      <w:r>
        <w:t xml:space="preserve"> </w:t>
      </w:r>
      <w:r>
        <w:rPr>
          <w:rStyle w:val="VerbatimChar"/>
        </w:rPr>
        <w:t xml:space="preserve">study-342717</w:t>
      </w:r>
      <w:r>
        <w:t xml:space="preserve">. The export forces a brand-new dataset and adds Google’s service account as an editor on the whole project — keeping that off the warehouse is cleaner. You can still join logs to warehouse tables as long as both sit in the</w:t>
      </w:r>
      <w:r>
        <w:t xml:space="preserve"> </w:t>
      </w:r>
      <w:r>
        <w:rPr>
          <w:b/>
        </w:rPr>
        <w:t xml:space="preserve">same region</w:t>
      </w:r>
      <w:r>
        <w:t xml:space="preserve"> </w:t>
      </w:r>
      <w:r>
        <w:t xml:space="preserve">(cross-project, same-location queries are allowed), so pin the dataset to</w:t>
      </w:r>
      <w:r>
        <w:t xml:space="preserve"> </w:t>
      </w:r>
      <w:r>
        <w:rPr>
          <w:rStyle w:val="VerbatimChar"/>
        </w:rPr>
        <w:t xml:space="preserve">northamerica-northeast2</w:t>
      </w:r>
      <w:r>
        <w:t xml:space="preserve"> </w:t>
      </w:r>
      <w:r>
        <w:t xml:space="preserve">in step B-7.</w:t>
      </w:r>
    </w:p>
    <w:p>
      <w:pPr>
        <w:numPr>
          <w:ilvl w:val="0"/>
          <w:numId w:val="1001"/>
        </w:numPr>
        <w:pStyle w:val="Compact"/>
      </w:pPr>
      <w:r>
        <w:rPr>
          <w:b/>
        </w:rPr>
        <w:t xml:space="preserve">Enable billing</w:t>
      </w:r>
      <w:r>
        <w:t xml:space="preserve"> </w:t>
      </w:r>
      <w:r>
        <w:t xml:space="preserve">on the project (required, per above).</w:t>
      </w:r>
    </w:p>
    <w:p>
      <w:pPr>
        <w:numPr>
          <w:ilvl w:val="0"/>
          <w:numId w:val="1001"/>
        </w:numPr>
        <w:pStyle w:val="Compact"/>
      </w:pPr>
      <w:r>
        <w:rPr>
          <w:b/>
        </w:rPr>
        <w:t xml:space="preserve">Grant IAM roles</w:t>
      </w:r>
      <w:r>
        <w:t xml:space="preserve"> </w:t>
      </w:r>
      <w:r>
        <w:t xml:space="preserve">(IAM &amp; Admin → IAM):</w:t>
      </w:r>
    </w:p>
    <w:p>
      <w:pPr>
        <w:numPr>
          <w:ilvl w:val="1"/>
          <w:numId w:val="1002"/>
        </w:numPr>
        <w:pStyle w:val="Compact"/>
      </w:pPr>
      <w:r>
        <w:t xml:space="preserve">Your admin account →</w:t>
      </w:r>
      <w:r>
        <w:t xml:space="preserve"> </w:t>
      </w:r>
      <w:r>
        <w:rPr>
          <w:b/>
        </w:rPr>
        <w:t xml:space="preserve">BigQuery Admin</w:t>
      </w:r>
      <w:r>
        <w:t xml:space="preserve"> </w:t>
      </w:r>
      <w:r>
        <w:t xml:space="preserve">(</w:t>
      </w:r>
      <w:r>
        <w:rPr>
          <w:rStyle w:val="VerbatimChar"/>
        </w:rPr>
        <w:t xml:space="preserve">roles/bigquery.admin</w:t>
      </w:r>
      <w:r>
        <w:t xml:space="preserve">) and</w:t>
      </w:r>
      <w:r>
        <w:t xml:space="preserve"> </w:t>
      </w:r>
      <w:r>
        <w:rPr>
          <w:b/>
        </w:rPr>
        <w:t xml:space="preserve">Project IAM Admin</w:t>
      </w:r>
      <w:r>
        <w:t xml:space="preserve"> </w:t>
      </w:r>
      <w:r>
        <w:t xml:space="preserve">(</w:t>
      </w:r>
      <w:r>
        <w:rPr>
          <w:rStyle w:val="VerbatimChar"/>
        </w:rPr>
        <w:t xml:space="preserve">roles/resourcemanager.projectIamAdmin</w:t>
      </w:r>
      <w:r>
        <w:t xml:space="preserve">).</w:t>
      </w:r>
    </w:p>
    <w:p>
      <w:pPr>
        <w:numPr>
          <w:ilvl w:val="1"/>
          <w:numId w:val="1002"/>
        </w:numPr>
        <w:pStyle w:val="Compact"/>
      </w:pPr>
      <w:r>
        <w:t xml:space="preserve">Service account</w:t>
      </w:r>
      <w:r>
        <w:t xml:space="preserve"> </w:t>
      </w:r>
      <w:r>
        <w:rPr>
          <w:rStyle w:val="VerbatimChar"/>
        </w:rPr>
        <w:t xml:space="preserve">gapps-reports@system.gserviceaccount.com</w:t>
      </w:r>
      <w:r>
        <w:t xml:space="preserve"> </w:t>
      </w:r>
      <w:r>
        <w:t xml:space="preserve">→</w:t>
      </w:r>
      <w:r>
        <w:t xml:space="preserve"> </w:t>
      </w:r>
      <w:r>
        <w:rPr>
          <w:b/>
        </w:rPr>
        <w:t xml:space="preserve">Editor</w:t>
      </w:r>
      <w:r>
        <w:t xml:space="preserve"> </w:t>
      </w:r>
      <w:r>
        <w:t xml:space="preserve">(or equivalent). Google needs this to write logs and update the schema.</w:t>
      </w:r>
    </w:p>
    <w:p>
      <w:pPr>
        <w:numPr>
          <w:ilvl w:val="0"/>
          <w:numId w:val="1001"/>
        </w:numPr>
        <w:pStyle w:val="Compact"/>
      </w:pPr>
      <w:r>
        <w:rPr>
          <w:b/>
        </w:rPr>
        <w:t xml:space="preserve">Domain Restricted Sharing (only if used).</w:t>
      </w:r>
      <w:r>
        <w:t xml:space="preserve"> </w:t>
      </w:r>
      <w:r>
        <w:t xml:space="preserve">If Helcim enforces the DRS org policy in GCP, add Google customer ID</w:t>
      </w:r>
      <w:r>
        <w:t xml:space="preserve"> </w:t>
      </w:r>
      <w:r>
        <w:rPr>
          <w:rStyle w:val="VerbatimChar"/>
        </w:rPr>
        <w:t xml:space="preserve">C02h8e9nw</w:t>
      </w:r>
      <w:r>
        <w:t xml:space="preserve"> </w:t>
      </w:r>
      <w:r>
        <w:t xml:space="preserve">to the allowlist, or the export can’t write. Skip if you don’t use DRS.</w:t>
      </w:r>
    </w:p>
    <w:p>
      <w:pPr>
        <w:numPr>
          <w:ilvl w:val="0"/>
          <w:numId w:val="1001"/>
        </w:numPr>
        <w:pStyle w:val="Compact"/>
      </w:pPr>
      <w:r>
        <w:rPr>
          <w:b/>
        </w:rPr>
        <w:t xml:space="preserve">Do not pre-create the dataset.</w:t>
      </w:r>
      <w:r>
        <w:t xml:space="preserve"> </w:t>
      </w:r>
      <w:r>
        <w:t xml:space="preserve">Google creates it on first run. If a dataset of the same name already exists, the Admin console save in Part B will fail.</w:t>
      </w:r>
    </w:p>
    <w:p>
      <w:pPr>
        <w:pStyle w:val="Heading2"/>
      </w:pPr>
      <w:bookmarkStart w:id="24" w:name="part-b-turn-on-the-export-admin-console"/>
      <w:r>
        <w:t xml:space="preserve">5. Part B — Turn on the export (Admin console)</w:t>
      </w:r>
      <w:bookmarkEnd w:id="24"/>
    </w:p>
    <w:p>
      <w:pPr>
        <w:numPr>
          <w:ilvl w:val="0"/>
          <w:numId w:val="1003"/>
        </w:numPr>
        <w:pStyle w:val="Compact"/>
      </w:pPr>
      <w:r>
        <w:t xml:space="preserve">Go to</w:t>
      </w:r>
      <w:r>
        <w:t xml:space="preserve"> </w:t>
      </w:r>
      <w:r>
        <w:rPr>
          <w:rStyle w:val="VerbatimChar"/>
        </w:rPr>
        <w:t xml:space="preserve">admin.google.com</w:t>
      </w:r>
      <w:r>
        <w:t xml:space="preserve"> </w:t>
      </w:r>
      <w:r>
        <w:t xml:space="preserve">→ Menu →</w:t>
      </w:r>
      <w:r>
        <w:t xml:space="preserve"> </w:t>
      </w:r>
      <w:r>
        <w:rPr>
          <w:b/>
        </w:rPr>
        <w:t xml:space="preserve">Reporting</w:t>
      </w:r>
      <w:r>
        <w:t xml:space="preserve"> </w:t>
      </w:r>
      <w:r>
        <w:t xml:space="preserve">→</w:t>
      </w:r>
      <w:r>
        <w:t xml:space="preserve"> </w:t>
      </w:r>
      <w:r>
        <w:rPr>
          <w:b/>
        </w:rPr>
        <w:t xml:space="preserve">Data integrations</w:t>
      </w:r>
      <w:r>
        <w:t xml:space="preserve">. Direct link:</w:t>
      </w:r>
      <w:r>
        <w:t xml:space="preserve"> </w:t>
      </w:r>
      <w:r>
        <w:rPr>
          <w:rStyle w:val="VerbatimChar"/>
        </w:rPr>
        <w:t xml:space="preserve">admin.google.com/ac/reporting/bigqueryexport</w:t>
      </w:r>
      <w:r>
        <w:t xml:space="preserve">.</w:t>
      </w:r>
    </w:p>
    <w:p>
      <w:pPr>
        <w:numPr>
          <w:ilvl w:val="0"/>
          <w:numId w:val="1003"/>
        </w:numPr>
        <w:pStyle w:val="Compact"/>
      </w:pPr>
      <w:r>
        <w:t xml:space="preserve">On the</w:t>
      </w:r>
      <w:r>
        <w:t xml:space="preserve"> </w:t>
      </w:r>
      <w:r>
        <w:rPr>
          <w:b/>
        </w:rPr>
        <w:t xml:space="preserve">BigQuery Export</w:t>
      </w:r>
      <w:r>
        <w:t xml:space="preserve"> </w:t>
      </w:r>
      <w:r>
        <w:t xml:space="preserve">card, click</w:t>
      </w:r>
      <w:r>
        <w:t xml:space="preserve"> </w:t>
      </w:r>
      <w:r>
        <w:rPr>
          <w:b/>
        </w:rPr>
        <w:t xml:space="preserve">Edit</w:t>
      </w:r>
      <w:r>
        <w:t xml:space="preserve">.</w:t>
      </w:r>
    </w:p>
    <w:p>
      <w:pPr>
        <w:numPr>
          <w:ilvl w:val="0"/>
          <w:numId w:val="1003"/>
        </w:numPr>
        <w:pStyle w:val="Compact"/>
      </w:pPr>
      <w:r>
        <w:t xml:space="preserve">Tick the single checkbox:</w:t>
      </w:r>
      <w:r>
        <w:t xml:space="preserve"> </w:t>
      </w:r>
      <w:r>
        <w:rPr>
          <w:b/>
        </w:rPr>
        <w:t xml:space="preserve">“</w:t>
      </w:r>
      <w:r>
        <w:rPr>
          <w:b/>
        </w:rPr>
        <w:t xml:space="preserve">Enable audit and reports data export to Google BigQuery.</w:t>
      </w:r>
      <w:r>
        <w:rPr>
          <w:b/>
        </w:rPr>
        <w:t xml:space="preserve">”</w:t>
      </w:r>
      <w:r>
        <w:t xml:space="preserve"> </w:t>
      </w:r>
      <w:r>
        <w:t xml:space="preserve">The BigQuery project, dataset, and location fields appear right below once it’s ticked (SAVE stays greyed until you fill them in).</w:t>
      </w:r>
    </w:p>
    <w:p>
      <w:pPr>
        <w:numPr>
          <w:ilvl w:val="0"/>
          <w:numId w:val="1003"/>
        </w:numPr>
        <w:pStyle w:val="Compact"/>
      </w:pPr>
      <w:r>
        <w:t xml:space="preserve">(Optional)</w:t>
      </w:r>
      <w:r>
        <w:t xml:space="preserve"> </w:t>
      </w:r>
      <w:r>
        <w:rPr>
          <w:b/>
        </w:rPr>
        <w:t xml:space="preserve">“</w:t>
      </w:r>
      <w:r>
        <w:rPr>
          <w:b/>
        </w:rPr>
        <w:t xml:space="preserve">Allow export of sensitive content from DLP rule logs</w:t>
      </w:r>
      <w:r>
        <w:rPr>
          <w:b/>
        </w:rPr>
        <w:t xml:space="preserve">”</w:t>
      </w:r>
      <w:r>
        <w:t xml:space="preserve"> </w:t>
      </w:r>
      <w:r>
        <w:t xml:space="preserve">— leave</w:t>
      </w:r>
      <w:r>
        <w:t xml:space="preserve"> </w:t>
      </w:r>
      <w:r>
        <w:rPr>
          <w:b/>
        </w:rPr>
        <w:t xml:space="preserve">OFF</w:t>
      </w:r>
      <w:r>
        <w:t xml:space="preserve"> </w:t>
      </w:r>
      <w:r>
        <w:t xml:space="preserve">unless Neil specifically needs DLP-matched content; it exports the sensitive matched text.</w:t>
      </w:r>
    </w:p>
    <w:p>
      <w:pPr>
        <w:numPr>
          <w:ilvl w:val="0"/>
          <w:numId w:val="1003"/>
        </w:numPr>
        <w:pStyle w:val="Compact"/>
      </w:pPr>
      <w:r>
        <w:rPr>
          <w:b/>
        </w:rPr>
        <w:t xml:space="preserve">BigQuery project ID</w:t>
      </w:r>
      <w:r>
        <w:t xml:space="preserve"> </w:t>
      </w:r>
      <w:r>
        <w:t xml:space="preserve">→ select your project. If it isn’t listed,</w:t>
      </w:r>
      <w:r>
        <w:t xml:space="preserve"> </w:t>
      </w:r>
      <w:r>
        <w:rPr>
          <w:rStyle w:val="VerbatimChar"/>
        </w:rPr>
        <w:t xml:space="preserve">gapps-reports</w:t>
      </w:r>
      <w:r>
        <w:t xml:space="preserve"> </w:t>
      </w:r>
      <w:r>
        <w:t xml:space="preserve">isn’t an editor yet (redo A-3).</w:t>
      </w:r>
    </w:p>
    <w:p>
      <w:pPr>
        <w:numPr>
          <w:ilvl w:val="0"/>
          <w:numId w:val="1003"/>
        </w:numPr>
        <w:pStyle w:val="Compact"/>
      </w:pPr>
      <w:r>
        <w:rPr>
          <w:b/>
        </w:rPr>
        <w:t xml:space="preserve">New dataset within project</w:t>
      </w:r>
      <w:r>
        <w:t xml:space="preserve"> </w:t>
      </w:r>
      <w:r>
        <w:t xml:space="preserve">→ enter a brand-new, unique name, e.g. </w:t>
      </w:r>
      <w:r>
        <w:rPr>
          <w:rStyle w:val="VerbatimChar"/>
        </w:rPr>
        <w:t xml:space="preserve">workspace_logs</w:t>
      </w:r>
      <w:r>
        <w:t xml:space="preserve">.</w:t>
      </w:r>
    </w:p>
    <w:p>
      <w:pPr>
        <w:numPr>
          <w:ilvl w:val="0"/>
          <w:numId w:val="1003"/>
        </w:numPr>
        <w:pStyle w:val="Compact"/>
      </w:pPr>
      <w:r>
        <w:t xml:space="preserve">Check</w:t>
      </w:r>
      <w:r>
        <w:t xml:space="preserve"> </w:t>
      </w:r>
      <w:r>
        <w:rPr>
          <w:b/>
        </w:rPr>
        <w:t xml:space="preserve">“</w:t>
      </w:r>
      <w:r>
        <w:rPr>
          <w:b/>
        </w:rPr>
        <w:t xml:space="preserve">Restrict the dataset to a specific geographic location</w:t>
      </w:r>
      <w:r>
        <w:rPr>
          <w:b/>
        </w:rPr>
        <w:t xml:space="preserve">”</w:t>
      </w:r>
      <w:r>
        <w:t xml:space="preserve"> </w:t>
      </w:r>
      <w:r>
        <w:t xml:space="preserve">→ select</w:t>
      </w:r>
      <w:r>
        <w:t xml:space="preserve"> </w:t>
      </w:r>
      <w:r>
        <w:rPr>
          <w:rStyle w:val="VerbatimChar"/>
        </w:rPr>
        <w:t xml:space="preserve">northamerica-northeast2</w:t>
      </w:r>
      <w:r>
        <w:t xml:space="preserve"> </w:t>
      </w:r>
      <w:r>
        <w:t xml:space="preserve">(Montréal) so the logs are co-located with</w:t>
      </w:r>
      <w:r>
        <w:t xml:space="preserve"> </w:t>
      </w:r>
      <w:r>
        <w:rPr>
          <w:rStyle w:val="VerbatimChar"/>
        </w:rPr>
        <w:t xml:space="preserve">study-342717</w:t>
      </w:r>
      <w:r>
        <w:t xml:space="preserve"> </w:t>
      </w:r>
      <w:r>
        <w:t xml:space="preserve">and joinable.</w:t>
      </w:r>
    </w:p>
    <w:p>
      <w:pPr>
        <w:numPr>
          <w:ilvl w:val="0"/>
          <w:numId w:val="1003"/>
        </w:numPr>
        <w:pStyle w:val="Compact"/>
      </w:pPr>
      <w:r>
        <w:rPr>
          <w:b/>
        </w:rPr>
        <w:t xml:space="preserve">Save.</w:t>
      </w:r>
      <w:r>
        <w:t xml:space="preserve"> </w:t>
      </w:r>
      <w:r>
        <w:t xml:space="preserve">If it won’t save, delete any manually-created dataset of that name in the Cloud console, then save again.</w:t>
      </w:r>
    </w:p>
    <w:p>
      <w:pPr>
        <w:numPr>
          <w:ilvl w:val="0"/>
          <w:numId w:val="1003"/>
        </w:numPr>
        <w:pStyle w:val="Compact"/>
      </w:pPr>
      <w:r>
        <w:t xml:space="preserve">The dataset is created the</w:t>
      </w:r>
      <w:r>
        <w:t xml:space="preserve"> </w:t>
      </w:r>
      <w:r>
        <w:rPr>
          <w:b/>
        </w:rPr>
        <w:t xml:space="preserve">next day</w:t>
      </w:r>
      <w:r>
        <w:t xml:space="preserve"> </w:t>
      </w:r>
      <w:r>
        <w:t xml:space="preserve">(</w:t>
      </w:r>
      <w:r>
        <w:rPr>
          <w:rStyle w:val="VerbatimChar"/>
        </w:rPr>
        <w:t xml:space="preserve">gapps-reports</w:t>
      </w:r>
      <w:r>
        <w:t xml:space="preserve"> </w:t>
      </w:r>
      <w:r>
        <w:t xml:space="preserve">is auto-added as editor). Activity events then arrive within ~10 minutes; usage reports lag 48h initially, then 1–3 days.</w:t>
      </w:r>
    </w:p>
    <w:p>
      <w:pPr>
        <w:pStyle w:val="Heading2"/>
      </w:pPr>
      <w:bookmarkStart w:id="25" w:name="part-c-verify"/>
      <w:r>
        <w:t xml:space="preserve">6. Part C — Verify</w:t>
      </w:r>
      <w:bookmarkEnd w:id="25"/>
    </w:p>
    <w:p>
      <w:pPr>
        <w:pStyle w:val="FirstParagraph"/>
      </w:pPr>
      <w:r>
        <w:t xml:space="preserve">Once the dataset and its daily tables exist (next day), open the dataset in the BigQuery console to confirm the table name. Gmail logs are written as daily tables generated from a template, so query them with a wildcard (replace</w:t>
      </w:r>
      <w:r>
        <w:t xml:space="preserve"> </w:t>
      </w:r>
      <w:r>
        <w:rPr>
          <w:rStyle w:val="VerbatimChar"/>
        </w:rPr>
        <w:t xml:space="preserve">PROJECT</w:t>
      </w:r>
      <w:r>
        <w:t xml:space="preserve">):</w:t>
      </w:r>
    </w:p>
    <w:p>
      <w:pPr>
        <w:pStyle w:val="SourceCode"/>
      </w:pPr>
      <w:r>
        <w:rPr>
          <w:rStyle w:val="KeywordTok"/>
        </w:rPr>
        <w:t xml:space="preserve">SELECT</w:t>
      </w:r>
      <w:r>
        <w:br/>
      </w:r>
      <w:r>
        <w:rPr>
          <w:rStyle w:val="NormalTok"/>
        </w:rPr>
        <w:t xml:space="preserve">  TIMESTAMP_MICROS(event_info.timestamp_usec) </w:t>
      </w:r>
      <w:r>
        <w:rPr>
          <w:rStyle w:val="KeywordTok"/>
        </w:rPr>
        <w:t xml:space="preserve">AS</w:t>
      </w:r>
      <w:r>
        <w:rPr>
          <w:rStyle w:val="NormalTok"/>
        </w:rPr>
        <w:t xml:space="preserve"> event_time,</w:t>
      </w:r>
      <w:r>
        <w:br/>
      </w:r>
      <w:r>
        <w:rPr>
          <w:rStyle w:val="NormalTok"/>
        </w:rPr>
        <w:t xml:space="preserve">  event_info.mail_event_type                  </w:t>
      </w:r>
      <w:r>
        <w:rPr>
          <w:rStyle w:val="KeywordTok"/>
        </w:rPr>
        <w:t xml:space="preserve">AS</w:t>
      </w:r>
      <w:r>
        <w:rPr>
          <w:rStyle w:val="NormalTok"/>
        </w:rPr>
        <w:t xml:space="preserve"> event_type,  </w:t>
      </w:r>
      <w:r>
        <w:rPr>
          <w:rStyle w:val="CommentTok"/>
        </w:rPr>
        <w:t xml:space="preserve">-- 1=sent, 2=received, ...</w:t>
      </w:r>
      <w:r>
        <w:br/>
      </w:r>
      <w:r>
        <w:rPr>
          <w:rStyle w:val="NormalTok"/>
        </w:rPr>
        <w:t xml:space="preserve">  message_info.</w:t>
      </w:r>
      <w:r>
        <w:rPr>
          <w:rStyle w:val="KeywordTok"/>
        </w:rPr>
        <w:t xml:space="preserve">source</w:t>
      </w:r>
      <w:r>
        <w:rPr>
          <w:rStyle w:val="NormalTok"/>
        </w:rPr>
        <w:t xml:space="preserve">.address                 </w:t>
      </w:r>
      <w:r>
        <w:rPr>
          <w:rStyle w:val="KeywordTok"/>
        </w:rPr>
        <w:t xml:space="preserve">AS</w:t>
      </w:r>
      <w:r>
        <w:rPr>
          <w:rStyle w:val="NormalTok"/>
        </w:rPr>
        <w:t xml:space="preserve"> sender,</w:t>
      </w:r>
      <w:r>
        <w:br/>
      </w:r>
      <w:r>
        <w:rPr>
          <w:rStyle w:val="NormalTok"/>
        </w:rPr>
        <w:t xml:space="preserve">  recipient.address                           </w:t>
      </w:r>
      <w:r>
        <w:rPr>
          <w:rStyle w:val="KeywordTok"/>
        </w:rPr>
        <w:t xml:space="preserve">AS</w:t>
      </w:r>
      <w:r>
        <w:rPr>
          <w:rStyle w:val="NormalTok"/>
        </w:rPr>
        <w:t xml:space="preserve"> recipient,</w:t>
      </w:r>
      <w:r>
        <w:br/>
      </w:r>
      <w:r>
        <w:rPr>
          <w:rStyle w:val="NormalTok"/>
        </w:rPr>
        <w:t xml:space="preserve">  message_info.subject                        </w:t>
      </w:r>
      <w:r>
        <w:rPr>
          <w:rStyle w:val="KeywordTok"/>
        </w:rPr>
        <w:t xml:space="preserve">AS</w:t>
      </w:r>
      <w:r>
        <w:rPr>
          <w:rStyle w:val="NormalTok"/>
        </w:rPr>
        <w:t xml:space="preserve"> subject,</w:t>
      </w:r>
      <w:r>
        <w:br/>
      </w:r>
      <w:r>
        <w:rPr>
          <w:rStyle w:val="NormalTok"/>
        </w:rPr>
        <w:t xml:space="preserve">  message_info.rfc2822_message_id             </w:t>
      </w:r>
      <w:r>
        <w:rPr>
          <w:rStyle w:val="KeywordTok"/>
        </w:rPr>
        <w:t xml:space="preserve">AS</w:t>
      </w:r>
      <w:r>
        <w:rPr>
          <w:rStyle w:val="NormalTok"/>
        </w:rPr>
        <w:t xml:space="preserve"> message_id,</w:t>
      </w:r>
      <w:r>
        <w:br/>
      </w:r>
      <w:r>
        <w:rPr>
          <w:rStyle w:val="NormalTok"/>
        </w:rPr>
        <w:t xml:space="preserve">  event_info.success                          </w:t>
      </w:r>
      <w:r>
        <w:rPr>
          <w:rStyle w:val="KeywordTok"/>
        </w:rPr>
        <w:t xml:space="preserve">AS</w:t>
      </w:r>
      <w:r>
        <w:rPr>
          <w:rStyle w:val="NormalTok"/>
        </w:rPr>
        <w:t xml:space="preserve"> delivered_ok</w:t>
      </w:r>
      <w:r>
        <w:br/>
      </w:r>
      <w:r>
        <w:rPr>
          <w:rStyle w:val="KeywordTok"/>
        </w:rPr>
        <w:t xml:space="preserve">FROM</w:t>
      </w:r>
      <w:r>
        <w:rPr>
          <w:rStyle w:val="NormalTok"/>
        </w:rPr>
        <w:t xml:space="preserve"> `PROJECT.workspace_logs.daily_</w:t>
      </w:r>
      <w:r>
        <w:rPr>
          <w:rStyle w:val="OperatorTok"/>
        </w:rPr>
        <w:t xml:space="preserve">*</w:t>
      </w:r>
      <w:r>
        <w:rPr>
          <w:rStyle w:val="NormalTok"/>
        </w:rPr>
        <w:t xml:space="preserve">`,</w:t>
      </w:r>
      <w:r>
        <w:br/>
      </w:r>
      <w:r>
        <w:rPr>
          <w:rStyle w:val="NormalTok"/>
        </w:rPr>
        <w:t xml:space="preserve">  UNNEST(message_info.destination) </w:t>
      </w:r>
      <w:r>
        <w:rPr>
          <w:rStyle w:val="KeywordTok"/>
        </w:rPr>
        <w:t xml:space="preserve">AS</w:t>
      </w:r>
      <w:r>
        <w:rPr>
          <w:rStyle w:val="NormalTok"/>
        </w:rPr>
        <w:t xml:space="preserve"> recipient</w:t>
      </w:r>
      <w:r>
        <w:br/>
      </w:r>
      <w:r>
        <w:rPr>
          <w:rStyle w:val="KeywordTok"/>
        </w:rPr>
        <w:t xml:space="preserve">WHERE</w:t>
      </w:r>
      <w:r>
        <w:rPr>
          <w:rStyle w:val="NormalTok"/>
        </w:rPr>
        <w:t xml:space="preserve"> _TABLE_SUFFIX </w:t>
      </w:r>
      <w:r>
        <w:rPr>
          <w:rStyle w:val="OperatorTok"/>
        </w:rPr>
        <w:t xml:space="preserve">=</w:t>
      </w:r>
      <w:r>
        <w:rPr>
          <w:rStyle w:val="NormalTok"/>
        </w:rPr>
        <w:t xml:space="preserve"> FORMAT_DATE(</w:t>
      </w:r>
      <w:r>
        <w:rPr>
          <w:rStyle w:val="StringTok"/>
        </w:rPr>
        <w:t xml:space="preserve">'%Y%m%d'</w:t>
      </w:r>
      <w:r>
        <w:rPr>
          <w:rStyle w:val="NormalTok"/>
        </w:rPr>
        <w:t xml:space="preserve">, </w:t>
      </w:r>
      <w:r>
        <w:rPr>
          <w:rStyle w:val="FunctionTok"/>
        </w:rPr>
        <w:t xml:space="preserve">CURRENT_DATE</w:t>
      </w:r>
      <w:r>
        <w:rPr>
          <w:rStyle w:val="NormalTok"/>
        </w:rPr>
        <w:t xml:space="preserve">(</w:t>
      </w:r>
      <w:r>
        <w:rPr>
          <w:rStyle w:val="StringTok"/>
        </w:rPr>
        <w:t xml:space="preserve">'America/Los_Angeles'</w:t>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event_time </w:t>
      </w:r>
      <w:r>
        <w:rPr>
          <w:rStyle w:val="KeywordTok"/>
        </w:rPr>
        <w:t xml:space="preserve">DESC</w:t>
      </w:r>
      <w:r>
        <w:br/>
      </w:r>
      <w:r>
        <w:rPr>
          <w:rStyle w:val="KeywordTok"/>
        </w:rPr>
        <w:t xml:space="preserve">LIMIT</w:t>
      </w:r>
      <w:r>
        <w:rPr>
          <w:rStyle w:val="NormalTok"/>
        </w:rPr>
        <w:t xml:space="preserve"> </w:t>
      </w:r>
      <w:r>
        <w:rPr>
          <w:rStyle w:val="DecValTok"/>
        </w:rPr>
        <w:t xml:space="preserve">100</w:t>
      </w:r>
      <w:r>
        <w:rPr>
          <w:rStyle w:val="NormalTok"/>
        </w:rPr>
        <w:t xml:space="preserve">;</w:t>
      </w:r>
    </w:p>
    <w:p>
      <w:pPr>
        <w:pStyle w:val="FirstParagraph"/>
      </w:pPr>
      <w:r>
        <w:rPr>
          <w:b/>
        </w:rPr>
        <w:t xml:space="preserve">Cost tip:</w:t>
      </w:r>
      <w:r>
        <w:t xml:space="preserve"> </w:t>
      </w:r>
      <w:r>
        <w:t xml:space="preserve">tables are day-partitioned on the</w:t>
      </w:r>
      <w:r>
        <w:t xml:space="preserve"> </w:t>
      </w:r>
      <w:r>
        <w:rPr>
          <w:rStyle w:val="VerbatimChar"/>
        </w:rPr>
        <w:t xml:space="preserve">_PARTITIONTIME</w:t>
      </w:r>
      <w:r>
        <w:t xml:space="preserve"> </w:t>
      </w:r>
      <w:r>
        <w:t xml:space="preserve">pseudocolumn (aligned to Pacific Time). Always filter by</w:t>
      </w:r>
      <w:r>
        <w:t xml:space="preserve"> </w:t>
      </w:r>
      <w:r>
        <w:rPr>
          <w:rStyle w:val="VerbatimChar"/>
        </w:rPr>
        <w:t xml:space="preserve">_PARTITIONTIME</w:t>
      </w:r>
      <w:r>
        <w:t xml:space="preserve"> </w:t>
      </w:r>
      <w:r>
        <w:t xml:space="preserve">or</w:t>
      </w:r>
      <w:r>
        <w:t xml:space="preserve"> </w:t>
      </w:r>
      <w:r>
        <w:rPr>
          <w:rStyle w:val="VerbatimChar"/>
        </w:rPr>
        <w:t xml:space="preserve">_TABLE_SUFFIX</w:t>
      </w:r>
      <w:r>
        <w:t xml:space="preserve"> </w:t>
      </w:r>
      <w:r>
        <w:t xml:space="preserve">so queries don’t scan the full history.</w:t>
      </w:r>
    </w:p>
    <w:p>
      <w:pPr>
        <w:pStyle w:val="Heading2"/>
      </w:pPr>
      <w:bookmarkStart w:id="26" w:name="retention-cost-operational-notes"/>
      <w:r>
        <w:t xml:space="preserve">7. Retention, cost &amp; operational notes</w:t>
      </w:r>
      <w:bookmarkEnd w:id="2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Topic</w:t>
            </w:r>
          </w:p>
        </w:tc>
        <w:tc>
          <w:tcPr>
            <w:tcBorders>
              <w:bottom w:val="single"/>
            </w:tcBorders>
            <w:vAlign w:val="bottom"/>
          </w:tcPr>
          <w:p>
            <w:pPr>
              <w:pStyle w:val="Compact"/>
              <w:jc w:val="left"/>
            </w:pPr>
            <w:r>
              <w:t xml:space="preserve">What to know</w:t>
            </w:r>
          </w:p>
        </w:tc>
      </w:tr>
      <w:tr>
        <w:tc>
          <w:p>
            <w:pPr>
              <w:pStyle w:val="Compact"/>
              <w:jc w:val="left"/>
            </w:pPr>
            <w:r>
              <w:rPr>
                <w:b/>
              </w:rPr>
              <w:t xml:space="preserve">Retention (important)</w:t>
            </w:r>
          </w:p>
        </w:tc>
        <w:tc>
          <w:p>
            <w:pPr>
              <w:pStyle w:val="Compact"/>
              <w:jc w:val="left"/>
            </w:pPr>
            <w:r>
              <w:t xml:space="preserve">Exported tables</w:t>
            </w:r>
            <w:r>
              <w:t xml:space="preserve"> </w:t>
            </w:r>
            <w:r>
              <w:rPr>
                <w:b/>
              </w:rPr>
              <w:t xml:space="preserve">auto-expire after 60 days by default</w:t>
            </w:r>
            <w:r>
              <w:t xml:space="preserve"> </w:t>
            </w:r>
            <w:r>
              <w:t xml:space="preserve">— data is deleted unless you change it. For long-term history, edit the dataset’s default table expiration (BigQuery → dataset → Details → Edit) to your policy, e.g. never or N years.</w:t>
            </w:r>
          </w:p>
        </w:tc>
      </w:tr>
      <w:tr>
        <w:tc>
          <w:p>
            <w:pPr>
              <w:pStyle w:val="Compact"/>
              <w:jc w:val="left"/>
            </w:pPr>
            <w:r>
              <w:rPr>
                <w:b/>
              </w:rPr>
              <w:t xml:space="preserve">Backfill</w:t>
            </w:r>
          </w:p>
        </w:tc>
        <w:tc>
          <w:p>
            <w:pPr>
              <w:pStyle w:val="Compact"/>
              <w:jc w:val="left"/>
            </w:pPr>
            <w:r>
              <w:t xml:space="preserve">On enable, Google backfills 180 days of activity data and 450 days of usage data.</w:t>
            </w:r>
          </w:p>
        </w:tc>
      </w:tr>
      <w:tr>
        <w:tc>
          <w:p>
            <w:pPr>
              <w:pStyle w:val="Compact"/>
              <w:jc w:val="left"/>
            </w:pPr>
            <w:r>
              <w:rPr>
                <w:b/>
              </w:rPr>
              <w:t xml:space="preserve">Cost</w:t>
            </w:r>
          </w:p>
        </w:tc>
        <w:tc>
          <w:p>
            <w:pPr>
              <w:pStyle w:val="Compact"/>
              <w:jc w:val="left"/>
            </w:pPr>
            <w:r>
              <w:t xml:space="preserve">Log-event export uses BigQuery streaming ingestion (insertAll), so streaming-ingestion charges apply, plus normal storage and query costs. Usage-report export is free. Filtering by partition keeps query spend down.</w:t>
            </w:r>
          </w:p>
        </w:tc>
      </w:tr>
      <w:tr>
        <w:tc>
          <w:p>
            <w:pPr>
              <w:pStyle w:val="Compact"/>
              <w:jc w:val="left"/>
            </w:pPr>
            <w:r>
              <w:rPr>
                <w:b/>
              </w:rPr>
              <w:t xml:space="preserve">Lag</w:t>
            </w:r>
          </w:p>
        </w:tc>
        <w:tc>
          <w:p>
            <w:pPr>
              <w:pStyle w:val="Compact"/>
              <w:jc w:val="left"/>
            </w:pPr>
            <w:r>
              <w:t xml:space="preserve">Activity events ~10 minutes; usage reports 48h on first configuration, then 1–3 days.</w:t>
            </w:r>
          </w:p>
        </w:tc>
      </w:tr>
      <w:tr>
        <w:tc>
          <w:p>
            <w:pPr>
              <w:pStyle w:val="Compact"/>
              <w:jc w:val="left"/>
            </w:pPr>
            <w:r>
              <w:rPr>
                <w:b/>
              </w:rPr>
              <w:t xml:space="preserve">Governance</w:t>
            </w:r>
          </w:p>
        </w:tc>
        <w:tc>
          <w:p>
            <w:pPr>
              <w:pStyle w:val="Compact"/>
              <w:jc w:val="left"/>
            </w:pPr>
            <w:r>
              <w:t xml:space="preserve">These logs expose senders, recipients, and subjects across</w:t>
            </w:r>
            <w:r>
              <w:t xml:space="preserve"> </w:t>
            </w:r>
            <w:r>
              <w:rPr>
                <w:b/>
              </w:rPr>
              <w:t xml:space="preserve">all</w:t>
            </w:r>
            <w:r>
              <w:t xml:space="preserve"> </w:t>
            </w:r>
            <w:r>
              <w:t xml:space="preserve">users’ mail. Decide who gets BigQuery access and loop in Data/Security. Keep DLP-content export OFF unless required.</w:t>
            </w:r>
          </w:p>
        </w:tc>
      </w:tr>
    </w:tbl>
    <w:p>
      <w:pPr>
        <w:pStyle w:val="Heading2"/>
      </w:pPr>
      <w:bookmarkStart w:id="27" w:name="decisions-to-confirm-before-starting"/>
      <w:r>
        <w:t xml:space="preserve">8. Decisions to confirm before starting</w:t>
      </w:r>
      <w:bookmarkEnd w:id="27"/>
    </w:p>
    <w:p>
      <w:pPr>
        <w:numPr>
          <w:ilvl w:val="0"/>
          <w:numId w:val="1004"/>
        </w:numPr>
        <w:pStyle w:val="Compact"/>
      </w:pPr>
      <w:r>
        <w:rPr>
          <w:b/>
        </w:rPr>
        <w:t xml:space="preserve">Edition</w:t>
      </w:r>
      <w:r>
        <w:t xml:space="preserve"> </w:t>
      </w:r>
      <w:r>
        <w:t xml:space="preserve">— confirm the Workspace tier. This is the only real blocker.</w:t>
      </w:r>
    </w:p>
    <w:p>
      <w:pPr>
        <w:numPr>
          <w:ilvl w:val="0"/>
          <w:numId w:val="1004"/>
        </w:numPr>
        <w:pStyle w:val="Compact"/>
      </w:pPr>
      <w:r>
        <w:rPr>
          <w:b/>
        </w:rPr>
        <w:t xml:space="preserve">Project</w:t>
      </w:r>
      <w:r>
        <w:t xml:space="preserve"> </w:t>
      </w:r>
      <w:r>
        <w:t xml:space="preserve">— dedicated (</w:t>
      </w:r>
      <w:r>
        <w:rPr>
          <w:rStyle w:val="VerbatimChar"/>
        </w:rPr>
        <w:t xml:space="preserve">helcim-workspace-logs</w:t>
      </w:r>
      <w:r>
        <w:t xml:space="preserve">) vs. the warehouse (</w:t>
      </w:r>
      <w:r>
        <w:rPr>
          <w:rStyle w:val="VerbatimChar"/>
        </w:rPr>
        <w:t xml:space="preserve">study-342717</w:t>
      </w:r>
      <w:r>
        <w:t xml:space="preserve">). Recommend dedicated, region-pinned.</w:t>
      </w:r>
    </w:p>
    <w:p>
      <w:pPr>
        <w:numPr>
          <w:ilvl w:val="0"/>
          <w:numId w:val="1004"/>
        </w:numPr>
        <w:pStyle w:val="Compact"/>
      </w:pPr>
      <w:r>
        <w:rPr>
          <w:b/>
        </w:rPr>
        <w:t xml:space="preserve">Region</w:t>
      </w:r>
      <w:r>
        <w:t xml:space="preserve"> </w:t>
      </w:r>
      <w:r>
        <w:t xml:space="preserve">—</w:t>
      </w:r>
      <w:r>
        <w:t xml:space="preserve"> </w:t>
      </w:r>
      <w:r>
        <w:rPr>
          <w:rStyle w:val="VerbatimChar"/>
        </w:rPr>
        <w:t xml:space="preserve">northamerica-northeast2</w:t>
      </w:r>
      <w:r>
        <w:t xml:space="preserve"> </w:t>
      </w:r>
      <w:r>
        <w:t xml:space="preserve">so logs can be joined to the warehouse (BigQuery can’t join across regions).</w:t>
      </w:r>
    </w:p>
    <w:p>
      <w:pPr>
        <w:numPr>
          <w:ilvl w:val="0"/>
          <w:numId w:val="1004"/>
        </w:numPr>
        <w:pStyle w:val="Compact"/>
      </w:pPr>
      <w:r>
        <w:rPr>
          <w:b/>
        </w:rPr>
        <w:t xml:space="preserve">Retention policy</w:t>
      </w:r>
      <w:r>
        <w:t xml:space="preserve"> </w:t>
      </w:r>
      <w:r>
        <w:t xml:space="preserve">— how much history does Neil need? Set the dataset’s table expiration accordingly (the 60-day default will otherwise delete data).</w:t>
      </w:r>
    </w:p>
    <w:p>
      <w:pPr>
        <w:numPr>
          <w:ilvl w:val="0"/>
          <w:numId w:val="1004"/>
        </w:numPr>
        <w:pStyle w:val="Compact"/>
      </w:pPr>
      <w:r>
        <w:rPr>
          <w:b/>
        </w:rPr>
        <w:t xml:space="preserve">Access &amp; sensitivity</w:t>
      </w:r>
      <w:r>
        <w:t xml:space="preserve"> </w:t>
      </w:r>
      <w:r>
        <w:t xml:space="preserve">— who can query it, and does Data/Security need to sign off?</w:t>
      </w:r>
    </w:p>
    <w:p>
      <w:pPr>
        <w:pStyle w:val="Heading3"/>
      </w:pPr>
      <w:bookmarkStart w:id="28" w:name="if-helcim-is-on-a-business-edition"/>
      <w:r>
        <w:t xml:space="preserve">If Helcim is on a Business edition</w:t>
      </w:r>
      <w:bookmarkEnd w:id="28"/>
    </w:p>
    <w:p>
      <w:pPr>
        <w:pStyle w:val="FirstParagraph"/>
      </w:pPr>
      <w:r>
        <w:t xml:space="preserve">The native export won’t be available. Fallbacks, in rough order of effort:</w:t>
      </w:r>
    </w:p>
    <w:p>
      <w:pPr>
        <w:numPr>
          <w:ilvl w:val="0"/>
          <w:numId w:val="1005"/>
        </w:numPr>
        <w:pStyle w:val="Compact"/>
      </w:pPr>
      <w:r>
        <w:rPr>
          <w:b/>
        </w:rPr>
        <w:t xml:space="preserve">Admin SDK Reports API</w:t>
      </w:r>
      <w:r>
        <w:t xml:space="preserve"> </w:t>
      </w:r>
      <w:r>
        <w:t xml:space="preserve">→ a scheduled job that loads Gmail log events into BigQuery. Most control, most build/maintenance.</w:t>
      </w:r>
    </w:p>
    <w:p>
      <w:pPr>
        <w:numPr>
          <w:ilvl w:val="0"/>
          <w:numId w:val="1005"/>
        </w:numPr>
        <w:pStyle w:val="Compact"/>
      </w:pPr>
      <w:r>
        <w:rPr>
          <w:b/>
        </w:rPr>
        <w:t xml:space="preserve">Third-party connector</w:t>
      </w:r>
      <w:r>
        <w:t xml:space="preserve"> </w:t>
      </w:r>
      <w:r>
        <w:t xml:space="preserve">(a SaaS log-export tool). Faster, but adds a vendor and cost.</w:t>
      </w:r>
    </w:p>
    <w:p>
      <w:pPr>
        <w:numPr>
          <w:ilvl w:val="0"/>
          <w:numId w:val="1005"/>
        </w:numPr>
        <w:pStyle w:val="Compact"/>
      </w:pPr>
      <w:r>
        <w:t xml:space="preserve">Both lack the native, rich delivery-log schema above; or consider upgrading the edition if this is a recurring need.</w:t>
      </w:r>
    </w:p>
    <w:p>
      <w:pPr>
        <w:pStyle w:val="Heading2"/>
      </w:pPr>
      <w:bookmarkStart w:id="29" w:name="appendix-a-key-gmail-log-fields"/>
      <w:r>
        <w:t xml:space="preserve">Appendix A — Key Gmail log fields</w:t>
      </w:r>
      <w:bookmarkEnd w:id="2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Meaning</w:t>
            </w:r>
          </w:p>
        </w:tc>
      </w:tr>
      <w:tr>
        <w:tc>
          <w:p>
            <w:pPr>
              <w:pStyle w:val="Compact"/>
              <w:jc w:val="left"/>
            </w:pPr>
            <w:r>
              <w:rPr>
                <w:rStyle w:val="VerbatimChar"/>
              </w:rPr>
              <w:t xml:space="preserve">event_info.timestamp_usec</w:t>
            </w:r>
          </w:p>
        </w:tc>
        <w:tc>
          <w:p>
            <w:pPr>
              <w:pStyle w:val="Compact"/>
              <w:jc w:val="left"/>
            </w:pPr>
            <w:r>
              <w:t xml:space="preserve">Event time (UNIX microseconds).</w:t>
            </w:r>
          </w:p>
        </w:tc>
      </w:tr>
      <w:tr>
        <w:tc>
          <w:p>
            <w:pPr>
              <w:pStyle w:val="Compact"/>
              <w:jc w:val="left"/>
            </w:pPr>
            <w:r>
              <w:rPr>
                <w:rStyle w:val="VerbatimChar"/>
              </w:rPr>
              <w:t xml:space="preserve">event_info.mail_event_type</w:t>
            </w:r>
          </w:p>
        </w:tc>
        <w:tc>
          <w:p>
            <w:pPr>
              <w:pStyle w:val="Compact"/>
              <w:jc w:val="left"/>
            </w:pPr>
            <w:r>
              <w:t xml:space="preserve">Event type: 1 sent, 2 received, 3 user spam reclassification, 30 bounced, etc.</w:t>
            </w:r>
          </w:p>
        </w:tc>
      </w:tr>
      <w:tr>
        <w:tc>
          <w:p>
            <w:pPr>
              <w:pStyle w:val="Compact"/>
              <w:jc w:val="left"/>
            </w:pPr>
            <w:r>
              <w:rPr>
                <w:rStyle w:val="VerbatimChar"/>
              </w:rPr>
              <w:t xml:space="preserve">event_info.success</w:t>
            </w:r>
          </w:p>
        </w:tc>
        <w:tc>
          <w:p>
            <w:pPr>
              <w:pStyle w:val="Compact"/>
              <w:jc w:val="left"/>
            </w:pPr>
            <w:r>
              <w:t xml:space="preserve">Whether the event succeeded (false if rejected by policy).</w:t>
            </w:r>
          </w:p>
        </w:tc>
      </w:tr>
      <w:tr>
        <w:tc>
          <w:p>
            <w:pPr>
              <w:pStyle w:val="Compact"/>
              <w:jc w:val="left"/>
            </w:pPr>
            <w:r>
              <w:rPr>
                <w:rStyle w:val="VerbatimChar"/>
              </w:rPr>
              <w:t xml:space="preserve">message_info.action_type</w:t>
            </w:r>
          </w:p>
        </w:tc>
        <w:tc>
          <w:p>
            <w:pPr>
              <w:pStyle w:val="Compact"/>
              <w:jc w:val="left"/>
            </w:pPr>
            <w:r>
              <w:t xml:space="preserve">Delivery stage: 1 inbound SMTP, 3 delivered/relayed, 18 bounced, 19 dropped, etc.</w:t>
            </w:r>
          </w:p>
        </w:tc>
      </w:tr>
      <w:tr>
        <w:tc>
          <w:p>
            <w:pPr>
              <w:pStyle w:val="Compact"/>
              <w:jc w:val="left"/>
            </w:pPr>
            <w:r>
              <w:rPr>
                <w:rStyle w:val="VerbatimChar"/>
              </w:rPr>
              <w:t xml:space="preserve">message_info.source.address</w:t>
            </w:r>
          </w:p>
        </w:tc>
        <w:tc>
          <w:p>
            <w:pPr>
              <w:pStyle w:val="Compact"/>
              <w:jc w:val="left"/>
            </w:pPr>
            <w:r>
              <w:t xml:space="preserve">Sender address.</w:t>
            </w:r>
          </w:p>
        </w:tc>
      </w:tr>
      <w:tr>
        <w:tc>
          <w:p>
            <w:pPr>
              <w:pStyle w:val="Compact"/>
              <w:jc w:val="left"/>
            </w:pPr>
            <w:r>
              <w:rPr>
                <w:rStyle w:val="VerbatimChar"/>
              </w:rPr>
              <w:t xml:space="preserve">message_info.destination.address</w:t>
            </w:r>
          </w:p>
        </w:tc>
        <w:tc>
          <w:p>
            <w:pPr>
              <w:pStyle w:val="Compact"/>
              <w:jc w:val="left"/>
            </w:pPr>
            <w:r>
              <w:t xml:space="preserve">Recipient address (repeated — one row per recipient when UNNESTed).</w:t>
            </w:r>
          </w:p>
        </w:tc>
      </w:tr>
      <w:tr>
        <w:tc>
          <w:p>
            <w:pPr>
              <w:pStyle w:val="Compact"/>
              <w:jc w:val="left"/>
            </w:pPr>
            <w:r>
              <w:rPr>
                <w:rStyle w:val="VerbatimChar"/>
              </w:rPr>
              <w:t xml:space="preserve">message_info.subject</w:t>
            </w:r>
          </w:p>
        </w:tc>
        <w:tc>
          <w:p>
            <w:pPr>
              <w:pStyle w:val="Compact"/>
              <w:jc w:val="left"/>
            </w:pPr>
            <w:r>
              <w:t xml:space="preserve">Message subject (may be truncated).</w:t>
            </w:r>
          </w:p>
        </w:tc>
      </w:tr>
      <w:tr>
        <w:tc>
          <w:p>
            <w:pPr>
              <w:pStyle w:val="Compact"/>
              <w:jc w:val="left"/>
            </w:pPr>
            <w:r>
              <w:rPr>
                <w:rStyle w:val="VerbatimChar"/>
              </w:rPr>
              <w:t xml:space="preserve">message_info.rfc2822_message_id</w:t>
            </w:r>
          </w:p>
        </w:tc>
        <w:tc>
          <w:p>
            <w:pPr>
              <w:pStyle w:val="Compact"/>
              <w:jc w:val="left"/>
            </w:pPr>
            <w:r>
              <w:t xml:space="preserve">RFC 2822 Message-ID (matches</w:t>
            </w:r>
            <w:r>
              <w:t xml:space="preserve"> </w:t>
            </w:r>
            <w:r>
              <w:t xml:space="preserve">“</w:t>
            </w:r>
            <w:r>
              <w:t xml:space="preserve">Show original</w:t>
            </w:r>
            <w:r>
              <w:t xml:space="preserve">”</w:t>
            </w:r>
            <w:r>
              <w:t xml:space="preserve"> </w:t>
            </w:r>
            <w:r>
              <w:t xml:space="preserve">in Gmail).</w:t>
            </w:r>
          </w:p>
        </w:tc>
      </w:tr>
    </w:tbl>
    <w:p>
      <w:pPr>
        <w:pStyle w:val="Heading2"/>
      </w:pPr>
      <w:bookmarkStart w:id="30" w:name="appendix-b-sources"/>
      <w:r>
        <w:t xml:space="preserve">Appendix B — Sources</w:t>
      </w:r>
      <w:bookmarkEnd w:id="30"/>
    </w:p>
    <w:p>
      <w:pPr>
        <w:numPr>
          <w:ilvl w:val="0"/>
          <w:numId w:val="1006"/>
        </w:numPr>
        <w:pStyle w:val="Compact"/>
      </w:pPr>
      <w:hyperlink r:id="rId31">
        <w:r>
          <w:rPr>
            <w:rStyle w:val="Hyperlink"/>
          </w:rPr>
          <w:t xml:space="preserve">Set up service log exports to BigQuery (Google Workspace Admin Help)</w:t>
        </w:r>
      </w:hyperlink>
    </w:p>
    <w:p>
      <w:pPr>
        <w:numPr>
          <w:ilvl w:val="0"/>
          <w:numId w:val="1006"/>
        </w:numPr>
        <w:pStyle w:val="Compact"/>
      </w:pPr>
      <w:hyperlink r:id="rId32">
        <w:r>
          <w:rPr>
            <w:rStyle w:val="Hyperlink"/>
          </w:rPr>
          <w:t xml:space="preserve">Set up a BigQuery project for reporting logs</w:t>
        </w:r>
      </w:hyperlink>
    </w:p>
    <w:p>
      <w:pPr>
        <w:numPr>
          <w:ilvl w:val="0"/>
          <w:numId w:val="1006"/>
        </w:numPr>
        <w:pStyle w:val="Compact"/>
      </w:pPr>
      <w:hyperlink r:id="rId33">
        <w:r>
          <w:rPr>
            <w:rStyle w:val="Hyperlink"/>
          </w:rPr>
          <w:t xml:space="preserve">Schema for Gmail logs in BigQuery</w:t>
        </w:r>
      </w:hyperlink>
    </w:p>
    <w:p>
      <w:pPr>
        <w:numPr>
          <w:ilvl w:val="0"/>
          <w:numId w:val="1006"/>
        </w:numPr>
        <w:pStyle w:val="Compact"/>
      </w:pPr>
      <w:hyperlink r:id="rId34">
        <w:r>
          <w:rPr>
            <w:rStyle w:val="Hyperlink"/>
          </w:rPr>
          <w:t xml:space="preserve">Example queries for reporting logs in BigQuery</w:t>
        </w:r>
      </w:hyperlink>
    </w:p>
    <w:p>
      <w:pPr>
        <w:numPr>
          <w:ilvl w:val="0"/>
          <w:numId w:val="1006"/>
        </w:numPr>
        <w:pStyle w:val="Compact"/>
      </w:pPr>
      <w:hyperlink r:id="rId35">
        <w:r>
          <w:rPr>
            <w:rStyle w:val="Hyperlink"/>
          </w:rPr>
          <w:t xml:space="preserve">Helcim Data &amp; BigQuery — Key Table Relationships (Confluence, project study-342717)</w:t>
        </w:r>
      </w:hyperlink>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5" Target="https://helcim.atlassian.net/wiki/spaces/PDH/pages/233210008" TargetMode="External" /><Relationship Type="http://schemas.openxmlformats.org/officeDocument/2006/relationships/hyperlink" Id="rId34" Target="https://knowledge.workspace.google.com/admin/reports/example-queries-for-reporting-logs-in-bigquery" TargetMode="External" /><Relationship Type="http://schemas.openxmlformats.org/officeDocument/2006/relationships/hyperlink" Id="rId33" Target="https://knowledge.workspace.google.com/admin/reports/schema-for-gmail-logs-in-bigquery" TargetMode="External" /><Relationship Type="http://schemas.openxmlformats.org/officeDocument/2006/relationships/hyperlink" Id="rId31" Target="https://support.google.com/a/answer/9079365" TargetMode="External" /><Relationship Type="http://schemas.openxmlformats.org/officeDocument/2006/relationships/hyperlink" Id="rId32" Target="https://support.google.com/a/answer/9082756" TargetMode="External" /></Relationships>
</file>

<file path=word/_rels/footnotes.xml.rels><?xml version="1.0" encoding="UTF-8"?>
<Relationships xmlns="http://schemas.openxmlformats.org/package/2006/relationships"><Relationship Type="http://schemas.openxmlformats.org/officeDocument/2006/relationships/hyperlink" Id="rId35" Target="https://helcim.atlassian.net/wiki/spaces/PDH/pages/233210008" TargetMode="External" /><Relationship Type="http://schemas.openxmlformats.org/officeDocument/2006/relationships/hyperlink" Id="rId34" Target="https://knowledge.workspace.google.com/admin/reports/example-queries-for-reporting-logs-in-bigquery" TargetMode="External" /><Relationship Type="http://schemas.openxmlformats.org/officeDocument/2006/relationships/hyperlink" Id="rId33" Target="https://knowledge.workspace.google.com/admin/reports/schema-for-gmail-logs-in-bigquery" TargetMode="External" /><Relationship Type="http://schemas.openxmlformats.org/officeDocument/2006/relationships/hyperlink" Id="rId31" Target="https://support.google.com/a/answer/9079365" TargetMode="External" /><Relationship Type="http://schemas.openxmlformats.org/officeDocument/2006/relationships/hyperlink" Id="rId32" Target="https://support.google.com/a/answer/908275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Gmail Logs in BigQuery — Implementation Runbook</dc:title>
  <dc:creator>Helcim IT · Requested by Neil (via Sam Elliott) · Owner: Abdi Obsiye</dc:creator>
  <cp:keywords/>
  <dcterms:created xsi:type="dcterms:W3CDTF">2026-07-10T15:33:54Z</dcterms:created>
  <dcterms:modified xsi:type="dcterms:W3CDTF">2026-07-10T15:33:54Z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9, 2026 · Status: Draft for review</vt:lpwstr>
  </property>
  <property fmtid="{D5CDD505-2E9C-101B-9397-08002B2CF9AE}" pid="3" name="subtitle">
    <vt:lpwstr>Google Workspace → BigQuery</vt:lpwstr>
  </property>
</Properties>
</file>