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F3864"/>
          <w:sz w:val="40"/>
        </w:rPr>
        <w:t>KULAN — Grant Application Boilerplate</w:t>
      </w:r>
    </w:p>
    <w:p>
      <w:pPr>
        <w:spacing w:after="400"/>
        <w:jc w:val="center"/>
      </w:pPr>
      <w:r>
        <w:rPr>
          <w:rFonts w:ascii="Arial" w:hAnsi="Arial"/>
          <w:i/>
          <w:color w:val="666666"/>
          <w:sz w:val="20"/>
        </w:rPr>
        <w:t>Reusable language extracted from prior applications. Copy, adapt, and customize for each new submission.</w:t>
      </w:r>
    </w:p>
    <w:p>
      <w:pPr>
        <w:spacing w:before="360" w:after="180"/>
      </w:pPr>
      <w:r>
        <w:rPr>
          <w:rFonts w:ascii="Arial" w:hAnsi="Arial"/>
          <w:b/>
          <w:color w:val="1F3864"/>
          <w:sz w:val="32"/>
        </w:rPr>
        <w:t>1. Organization Identity</w:t>
      </w:r>
    </w:p>
    <w:p>
      <w:pPr>
        <w:spacing w:after="60"/>
      </w:pPr>
      <w:r>
        <w:rPr>
          <w:rFonts w:ascii="Arial" w:hAnsi="Arial"/>
          <w:b/>
          <w:sz w:val="22"/>
        </w:rPr>
        <w:t>Legal Name</w:t>
      </w:r>
    </w:p>
    <w:p>
      <w:pPr>
        <w:spacing w:after="120"/>
      </w:pPr>
      <w:r>
        <w:rPr>
          <w:rFonts w:ascii="Arial" w:hAnsi="Arial"/>
          <w:sz w:val="22"/>
        </w:rPr>
        <w:t>Horn Youth Services Foundation (operating as KULAN)</w:t>
      </w:r>
    </w:p>
    <w:p>
      <w:pPr>
        <w:spacing w:after="60"/>
      </w:pPr>
      <w:r>
        <w:rPr>
          <w:rFonts w:ascii="Arial" w:hAnsi="Arial"/>
          <w:b/>
          <w:sz w:val="22"/>
        </w:rPr>
        <w:t>Address (Office &amp; Mailing)</w:t>
      </w:r>
    </w:p>
    <w:p>
      <w:pPr>
        <w:spacing w:after="120"/>
      </w:pPr>
      <w:r>
        <w:rPr>
          <w:rFonts w:ascii="Arial" w:hAnsi="Arial"/>
          <w:sz w:val="22"/>
        </w:rPr>
        <w:t>Unit 9, 10575 - 114 Street NW</w:t>
      </w:r>
    </w:p>
    <w:p>
      <w:pPr>
        <w:spacing w:after="120"/>
      </w:pPr>
      <w:r>
        <w:rPr>
          <w:rFonts w:ascii="Arial" w:hAnsi="Arial"/>
          <w:sz w:val="22"/>
        </w:rPr>
        <w:t>Edmonton, Alberta  T5H 3J6</w:t>
      </w:r>
    </w:p>
    <w:p>
      <w:pPr>
        <w:spacing w:after="60"/>
      </w:pPr>
      <w:r>
        <w:rPr>
          <w:rFonts w:ascii="Arial" w:hAnsi="Arial"/>
          <w:b/>
          <w:sz w:val="22"/>
        </w:rPr>
        <w:t>Website</w:t>
      </w:r>
    </w:p>
    <w:p>
      <w:pPr>
        <w:spacing w:after="120"/>
      </w:pPr>
      <w:r>
        <w:rPr>
          <w:rFonts w:ascii="Arial" w:hAnsi="Arial"/>
          <w:sz w:val="22"/>
        </w:rPr>
        <w:t>https://www.kulanyouthservices.org/</w:t>
      </w:r>
    </w:p>
    <w:p>
      <w:pPr>
        <w:spacing w:after="60"/>
      </w:pPr>
      <w:r>
        <w:rPr>
          <w:rFonts w:ascii="Arial" w:hAnsi="Arial"/>
          <w:b/>
          <w:sz w:val="22"/>
        </w:rPr>
        <w:t>Directors</w:t>
      </w:r>
    </w:p>
    <w:p>
      <w:pPr>
        <w:spacing w:after="120"/>
      </w:pPr>
      <w:r>
        <w:rPr>
          <w:rFonts w:ascii="Arial" w:hAnsi="Arial"/>
          <w:sz w:val="22"/>
        </w:rPr>
        <w:t>Omar Abubakar — Chairperson</w:t>
      </w:r>
    </w:p>
    <w:p>
      <w:pPr>
        <w:spacing w:after="120"/>
      </w:pPr>
      <w:r>
        <w:rPr>
          <w:rFonts w:ascii="Arial" w:hAnsi="Arial"/>
          <w:sz w:val="22"/>
        </w:rPr>
        <w:t>Youssouf Nour — Vice Chair</w:t>
      </w:r>
    </w:p>
    <w:p>
      <w:pPr>
        <w:spacing w:after="120"/>
      </w:pPr>
      <w:r>
        <w:rPr>
          <w:rFonts w:ascii="Arial" w:hAnsi="Arial"/>
          <w:sz w:val="22"/>
        </w:rPr>
        <w:t>Adnaan Diriye — Treasurer</w:t>
      </w:r>
    </w:p>
    <w:p>
      <w:pPr>
        <w:spacing w:after="120"/>
      </w:pPr>
      <w:r>
        <w:rPr>
          <w:rFonts w:ascii="Arial" w:hAnsi="Arial"/>
          <w:sz w:val="22"/>
        </w:rPr>
        <w:t>Khadar Jama — Executive Director</w:t>
      </w:r>
    </w:p>
    <w:p>
      <w:pPr>
        <w:spacing w:before="360" w:after="180"/>
      </w:pPr>
      <w:r>
        <w:rPr>
          <w:rFonts w:ascii="Arial" w:hAnsi="Arial"/>
          <w:b/>
          <w:color w:val="1F3864"/>
          <w:sz w:val="32"/>
        </w:rPr>
        <w:t>2. Mandate / Mission (≤ 100 words)</w:t>
      </w:r>
    </w:p>
    <w:p>
      <w:pPr>
        <w:spacing w:after="200"/>
      </w:pPr>
      <w:r>
        <w:rPr>
          <w:rFonts w:ascii="Arial" w:hAnsi="Arial"/>
          <w:i/>
          <w:color w:val="666666"/>
          <w:sz w:val="20"/>
        </w:rPr>
        <w:t>Use this verbatim for CIP and similar applications asking for a mission summary.</w:t>
      </w:r>
    </w:p>
    <w:p>
      <w:pPr>
        <w:spacing w:after="120"/>
      </w:pPr>
      <w:r>
        <w:rPr>
          <w:rFonts w:ascii="Arial" w:hAnsi="Arial"/>
          <w:sz w:val="22"/>
        </w:rPr>
        <w:t>KULAN's mandate is to develop and empower African-descendant communities in Alberta through partnership, collaborative approaches, and capacity building. We aim to provide quality programming and access to services from a place of cultural awareness and competency to the families, children, and seniors in our diverse community. Further, we strive to create opportunities accessible to all our community members in various aspects of society including economic, social, cultural and educational endeavors that contributes to the holistic development and wellness of the community including individual, family and community.</w:t>
      </w:r>
    </w:p>
    <w:p>
      <w:pPr>
        <w:spacing w:before="240" w:after="120"/>
      </w:pPr>
      <w:r>
        <w:rPr>
          <w:rFonts w:ascii="Arial" w:hAnsi="Arial"/>
          <w:b/>
          <w:color w:val="2E75B6"/>
          <w:sz w:val="26"/>
        </w:rPr>
        <w:t>Alternate / Expanded Mission Language</w:t>
      </w:r>
    </w:p>
    <w:p>
      <w:pPr>
        <w:spacing w:after="120"/>
      </w:pPr>
      <w:r>
        <w:rPr>
          <w:rFonts w:ascii="Arial" w:hAnsi="Arial"/>
          <w:sz w:val="22"/>
        </w:rPr>
        <w:t>Horn Youth Services Foundation (KULAN) is a grassroots nonprofit organization that provides culturally responsive, community-led programs that support East African and Black youth, families, and newcomers in Edmonton. KULAN works to address systemic barriers through programming focused on education, mental health, social inclusion, and newcomer integration.</w:t>
      </w:r>
    </w:p>
    <w:p>
      <w:pPr>
        <w:spacing w:before="240" w:after="120"/>
      </w:pPr>
      <w:r>
        <w:rPr>
          <w:rFonts w:ascii="Arial" w:hAnsi="Arial"/>
          <w:b/>
          <w:color w:val="2E75B6"/>
          <w:sz w:val="26"/>
        </w:rPr>
        <w:t>Vision Statement</w:t>
      </w:r>
    </w:p>
    <w:p>
      <w:pPr>
        <w:spacing w:after="120"/>
      </w:pPr>
      <w:r>
        <w:rPr>
          <w:rFonts w:ascii="Arial" w:hAnsi="Arial"/>
          <w:sz w:val="22"/>
        </w:rPr>
        <w:t>To foster the growth and empowerment of Black and newcomer communities in Edmonton by providing the resources, support, and hope needed to thrive. KULAN collaborates with partner organizations to bridge gaps and advocate for the rights of marginalized groups.</w:t>
      </w:r>
    </w:p>
    <w:p>
      <w:pPr>
        <w:spacing w:before="360" w:after="180"/>
      </w:pPr>
      <w:r>
        <w:rPr>
          <w:rFonts w:ascii="Arial" w:hAnsi="Arial"/>
          <w:b/>
          <w:color w:val="1F3864"/>
          <w:sz w:val="32"/>
        </w:rPr>
        <w:t>3. Programs &amp; Services Summary (≤ 100 words)</w:t>
      </w:r>
    </w:p>
    <w:p>
      <w:pPr>
        <w:spacing w:after="200"/>
      </w:pPr>
      <w:r>
        <w:rPr>
          <w:rFonts w:ascii="Arial" w:hAnsi="Arial"/>
          <w:i/>
          <w:color w:val="666666"/>
          <w:sz w:val="20"/>
        </w:rPr>
        <w:t>Standard programs paragraph — swap out programs to match the funder's focus area.</w:t>
      </w:r>
    </w:p>
    <w:p>
      <w:pPr>
        <w:spacing w:after="120"/>
      </w:pPr>
      <w:r>
        <w:rPr>
          <w:rFonts w:ascii="Arial" w:hAnsi="Arial"/>
          <w:sz w:val="22"/>
        </w:rPr>
        <w:t>KULAN supports the community through a variety of programs and services. We offer drop-in services throughout the week and tutoring for K-12 youth on weekends. Our Digital Literacy program teaches essential computer and typing skills, whereas our annual summer camp is a favourite amongst the children. Throughout the year, we host cultural events featuring dance, arts, and storytelling. Our annual youth summit promotes discussion on important topics and solution-seeking. We engage seniors with dedicated programming, including regular community meetings. Additionally, we encourage youth leadership roles and facilitate a yearly backpack drive.</w:t>
      </w:r>
    </w:p>
    <w:p>
      <w:pPr>
        <w:spacing w:before="240" w:after="120"/>
      </w:pPr>
      <w:r>
        <w:rPr>
          <w:rFonts w:ascii="Arial" w:hAnsi="Arial"/>
          <w:b/>
          <w:color w:val="2E75B6"/>
          <w:sz w:val="26"/>
        </w:rPr>
        <w:t>Expanded Programs Description</w:t>
      </w:r>
    </w:p>
    <w:p>
      <w:pPr>
        <w:spacing w:after="120"/>
      </w:pPr>
      <w:r>
        <w:rPr>
          <w:rFonts w:ascii="Arial" w:hAnsi="Arial"/>
          <w:sz w:val="22"/>
        </w:rPr>
        <w:t>Our organization delivers a range of community-based programs, including academic tutoring and mentorship, digital literacy training, culturally grounded mental health supports, and youth leadership development initiatives. These programs are designed to be accessible, culturally relevant, and responsive to the lived experiences of participants. Through our work, KULAN creates safe and inclusive spaces where youth can build confidence, develop practical skills, and strengthen their connection to community.</w:t>
      </w:r>
    </w:p>
    <w:p>
      <w:pPr>
        <w:spacing w:before="360" w:after="180"/>
      </w:pPr>
      <w:r>
        <w:rPr>
          <w:rFonts w:ascii="Arial" w:hAnsi="Arial"/>
          <w:b/>
          <w:color w:val="1F3864"/>
          <w:sz w:val="32"/>
        </w:rPr>
        <w:t>4. Community Need Identification</w:t>
      </w:r>
    </w:p>
    <w:p>
      <w:pPr>
        <w:spacing w:after="200"/>
      </w:pPr>
      <w:r>
        <w:rPr>
          <w:rFonts w:ascii="Arial" w:hAnsi="Arial"/>
          <w:i/>
          <w:color w:val="666666"/>
          <w:sz w:val="20"/>
        </w:rPr>
        <w:t>Reuse when funders ask how you identified the need. Replace [PROGRAM AREA] / [TOPIC] / [SPECIFIC ISSUE] as needed.</w:t>
      </w:r>
    </w:p>
    <w:p>
      <w:pPr>
        <w:spacing w:after="120"/>
      </w:pPr>
      <w:r>
        <w:rPr>
          <w:rFonts w:ascii="Arial" w:hAnsi="Arial"/>
          <w:sz w:val="22"/>
        </w:rPr>
        <w:t>We identified the need through a combination of surveys and direct conversations with community members. Our door-to-door and phone surveys, along with informal discussions, highlighted a strong demand for [PROGRAM AREA] support. Many individuals reported difficulties navigating existing resources and a lack of awareness about local programs. In Somali culture, which relies on oral communication, [TOPIC] is often discussed in family settings and community events. These conversations revealed significant concern about [SPECIFIC ISSUE], especially as many Somali immigrants came to Canada seeking better prospects for their children. The consistent feedback from these interactions underscored the urgent need for a dedicated program to address these challenges effectively.</w:t>
      </w:r>
    </w:p>
    <w:p>
      <w:pPr>
        <w:spacing w:before="360" w:after="180"/>
      </w:pPr>
      <w:r>
        <w:rPr>
          <w:rFonts w:ascii="Arial" w:hAnsi="Arial"/>
          <w:b/>
          <w:color w:val="1F3864"/>
          <w:sz w:val="32"/>
        </w:rPr>
        <w:t>5. Differentiation / Why KULAN Specifically</w:t>
      </w:r>
    </w:p>
    <w:p>
      <w:pPr>
        <w:spacing w:after="200"/>
      </w:pPr>
      <w:r>
        <w:rPr>
          <w:rFonts w:ascii="Arial" w:hAnsi="Arial"/>
          <w:i/>
          <w:color w:val="666666"/>
          <w:sz w:val="20"/>
        </w:rPr>
        <w:t>Reuse when funders ask why your project should be funded despite similar services existing.</w:t>
      </w:r>
    </w:p>
    <w:p>
      <w:pPr>
        <w:spacing w:after="120"/>
      </w:pPr>
      <w:r>
        <w:rPr>
          <w:rFonts w:ascii="Arial" w:hAnsi="Arial"/>
          <w:sz w:val="22"/>
        </w:rPr>
        <w:t>While similar programs exist in our community, many members have reported distrust due to negative past experiences with mainstream agencies. They often face misunderstandings and biases, resulting in their needs being inadequately met. KULAN addresses these issues by offering culturally sensitive and trusted support tailored to our community's needs. Our approach ensures that members feel respected and understood, providing a safe environment for seeking assistance. Funding our program will enhance our capacity to offer effective, empathetic support, bridging the gap where other services fall short and fostering trust.</w:t>
      </w:r>
    </w:p>
    <w:p>
      <w:pPr>
        <w:spacing w:before="360" w:after="180"/>
      </w:pPr>
      <w:r>
        <w:rPr>
          <w:rFonts w:ascii="Arial" w:hAnsi="Arial"/>
          <w:b/>
          <w:color w:val="1F3864"/>
          <w:sz w:val="32"/>
        </w:rPr>
        <w:t>6. Gender Equity Narrative</w:t>
      </w:r>
    </w:p>
    <w:p>
      <w:pPr>
        <w:spacing w:after="200"/>
      </w:pPr>
      <w:r>
        <w:rPr>
          <w:rFonts w:ascii="Arial" w:hAnsi="Arial"/>
          <w:i/>
          <w:color w:val="666666"/>
          <w:sz w:val="20"/>
        </w:rPr>
        <w:t>Reuse for CIP gender equity section and any funder asking about women/girls. Replace [TOPIC] as needed.</w:t>
      </w:r>
    </w:p>
    <w:p>
      <w:pPr>
        <w:spacing w:after="120"/>
      </w:pPr>
      <w:r>
        <w:rPr>
          <w:rFonts w:ascii="Arial" w:hAnsi="Arial"/>
          <w:sz w:val="22"/>
        </w:rPr>
        <w:t>In our community, women are traditionally responsible for managing the home and caring for the family. This role was manageable in their countries of origin due to the support from family members and neighbors, as many mothers did not work outside the home. In Canada, however, this task is more challenging because they lack the same support network and are unfamiliar with the process of [TOPIC]. As a result, they often miss out on settlement programs, including employment assistance, language training, and job seminars. This situation is even more difficult for those with children or family members with disabilities. Our program aims to address these issues by not only supporting them, but also enhancing the skills and capacities of community members, particularly mothers and young women. In our community, girls often stay home to assist their mothers, which is why our program is designed to be culturally relevant and led by experienced staff and volunteers who address the specific needs of mothers and girls in a culturally sensitive manner.</w:t>
      </w:r>
    </w:p>
    <w:p>
      <w:pPr>
        <w:spacing w:before="360" w:after="180"/>
      </w:pPr>
      <w:r>
        <w:rPr>
          <w:rFonts w:ascii="Arial" w:hAnsi="Arial"/>
          <w:b/>
          <w:color w:val="1F3864"/>
          <w:sz w:val="32"/>
        </w:rPr>
        <w:t>7. Risk if Project Is Not Funded</w:t>
      </w:r>
    </w:p>
    <w:p>
      <w:pPr>
        <w:spacing w:after="200"/>
      </w:pPr>
      <w:r>
        <w:rPr>
          <w:rFonts w:ascii="Arial" w:hAnsi="Arial"/>
          <w:i/>
          <w:color w:val="666666"/>
          <w:sz w:val="20"/>
        </w:rPr>
        <w:t>Reuse when funders ask about risks/consequences of not funding. Replace [SERVICE AREA] / [OPPORTUNITY] as needed.</w:t>
      </w:r>
    </w:p>
    <w:p>
      <w:pPr>
        <w:spacing w:after="120"/>
      </w:pPr>
      <w:r>
        <w:rPr>
          <w:rFonts w:ascii="Arial" w:hAnsi="Arial"/>
          <w:sz w:val="22"/>
        </w:rPr>
        <w:t>If this initiative is not implemented, the primary risks will fall on the community we serve. Many vulnerable individuals rely on our support to access [SERVICE AREA] and related resources. Without this initiative, they will remain excluded from [OPPORTUNITY], perpetuating cycles of poverty, poor housing, isolation, and deteriorating health. This strain will increase the demand for our stretched resources, as we try to address escalating needs for basic essentials like shelter, food, and clothing. Additionally, the community may face rising legal issues among youth and declining school attendance due to stressed and overwhelmed parents. While we will continue to offer support to the best of our ability, the lack of this initiative threatens the well-being of our community and has broader implications for social stability and economic health.</w:t>
      </w:r>
    </w:p>
    <w:p>
      <w:pPr>
        <w:spacing w:before="360" w:after="180"/>
      </w:pPr>
      <w:r>
        <w:rPr>
          <w:rFonts w:ascii="Arial" w:hAnsi="Arial"/>
          <w:b/>
          <w:color w:val="1F3864"/>
          <w:sz w:val="32"/>
        </w:rPr>
        <w:t>8. Communication &amp; Outreach Plan</w:t>
      </w:r>
    </w:p>
    <w:p>
      <w:pPr>
        <w:spacing w:after="200"/>
      </w:pPr>
      <w:r>
        <w:rPr>
          <w:rFonts w:ascii="Arial" w:hAnsi="Arial"/>
          <w:i/>
          <w:color w:val="666666"/>
          <w:sz w:val="20"/>
        </w:rPr>
        <w:t>Reuse for marketing/promotion sections — well-developed for community-rooted outreach.</w:t>
      </w:r>
    </w:p>
    <w:p>
      <w:pPr>
        <w:spacing w:after="120"/>
      </w:pPr>
      <w:r>
        <w:rPr>
          <w:rFonts w:ascii="Arial" w:hAnsi="Arial"/>
          <w:sz w:val="22"/>
        </w:rPr>
        <w:t>To effectively communicate and market our program, we will use a multi-faceted approach. Recognizing our community's reliance on word of mouth, we will distribute pamphlets to program participants, who will share them within their networks. We will engage our diverse pool of volunteers from local schools, colleges, universities, and hospitals to help spread the word. We will utilize Somali media channels, including radio and television, and promote the program through our Somali and organizational websites. To reach the broader Black community, we will advertise in multiple languages and provide flyers to immigrant-serving agencies in Edmonton for their resource lists. Additionally, we will share information through mosques and at community events such as weddings, Independence Day celebrations, picnics, and barbecues, ensuring widespread awareness and accessibility.</w:t>
      </w:r>
    </w:p>
    <w:p>
      <w:pPr>
        <w:spacing w:before="360" w:after="180"/>
      </w:pPr>
      <w:r>
        <w:rPr>
          <w:rFonts w:ascii="Arial" w:hAnsi="Arial"/>
          <w:b/>
          <w:color w:val="1F3864"/>
          <w:sz w:val="32"/>
        </w:rPr>
        <w:t>9. Organizational Experience</w:t>
      </w:r>
    </w:p>
    <w:p>
      <w:pPr>
        <w:spacing w:after="200"/>
      </w:pPr>
      <w:r>
        <w:rPr>
          <w:rFonts w:ascii="Arial" w:hAnsi="Arial"/>
          <w:i/>
          <w:color w:val="666666"/>
          <w:sz w:val="20"/>
        </w:rPr>
        <w:t>Reuse when funders ask about prior experience with similar projects.</w:t>
      </w:r>
    </w:p>
    <w:p>
      <w:pPr>
        <w:spacing w:after="120"/>
      </w:pPr>
      <w:r>
        <w:rPr>
          <w:rFonts w:ascii="Arial" w:hAnsi="Arial"/>
          <w:sz w:val="22"/>
        </w:rPr>
        <w:t>KULAN's experience in running developmental programs, such as our former tutoring program and our Digital Literacy program, demonstrates the strong community demand for education and support. We have observed that when we launch programs, word spreads quickly, and community members are eager to participate, particularly those seeking to sharpen their skills. This eagerness highlights the significant need for such resources. Our experience confirms that people are ready to engage and benefit from these programs. What we need now is additional resources and infrastructure to support them effectively.</w:t>
      </w:r>
    </w:p>
    <w:p>
      <w:pPr>
        <w:spacing w:before="360" w:after="180"/>
      </w:pPr>
      <w:r>
        <w:rPr>
          <w:rFonts w:ascii="Arial" w:hAnsi="Arial"/>
          <w:b/>
          <w:color w:val="1F3864"/>
          <w:sz w:val="32"/>
        </w:rPr>
        <w:t>10. Financial Position Narrative</w:t>
      </w:r>
    </w:p>
    <w:p>
      <w:pPr>
        <w:spacing w:after="200"/>
      </w:pPr>
      <w:r>
        <w:rPr>
          <w:rFonts w:ascii="Arial" w:hAnsi="Arial"/>
          <w:i/>
          <w:color w:val="666666"/>
          <w:sz w:val="20"/>
        </w:rPr>
        <w:t>Reuse when funders ask why funding is needed if you have/lack reserves.</w:t>
      </w:r>
    </w:p>
    <w:p>
      <w:pPr>
        <w:spacing w:before="240" w:after="120"/>
      </w:pPr>
      <w:r>
        <w:rPr>
          <w:rFonts w:ascii="Arial" w:hAnsi="Arial"/>
          <w:b/>
          <w:color w:val="2E75B6"/>
          <w:sz w:val="26"/>
        </w:rPr>
        <w:t>If asked about surplus/reserves</w:t>
      </w:r>
    </w:p>
    <w:p>
      <w:pPr>
        <w:spacing w:after="120"/>
      </w:pPr>
      <w:r>
        <w:rPr>
          <w:rFonts w:ascii="Arial" w:hAnsi="Arial"/>
          <w:sz w:val="22"/>
        </w:rPr>
        <w:t>We are requesting funding because our organization does not have a surplus, reserves, or other cash assets. Our financial resources are fully allocated to existing programs and operational costs. Without additional funding, we risk compromising the quality and scope of our new program, as we cannot redirect funds from other essential services. External funding is crucial for ensuring we can provide the comprehensive support needed for this initiative, maintain the quality of our existing programs, and effectively address the needs of our community.</w:t>
      </w:r>
    </w:p>
    <w:p>
      <w:pPr>
        <w:spacing w:before="240" w:after="120"/>
      </w:pPr>
      <w:r>
        <w:rPr>
          <w:rFonts w:ascii="Arial" w:hAnsi="Arial"/>
          <w:b/>
          <w:color w:val="2E75B6"/>
          <w:sz w:val="26"/>
        </w:rPr>
        <w:t>If asked about deficit</w:t>
      </w:r>
    </w:p>
    <w:p>
      <w:pPr>
        <w:spacing w:after="120"/>
      </w:pPr>
      <w:r>
        <w:rPr>
          <w:rFonts w:ascii="Arial" w:hAnsi="Arial"/>
          <w:sz w:val="22"/>
        </w:rPr>
        <w:t>We are not operating at a deficit, but our operational costs are fully allocated to our current programs and services. We have recently experienced a high influx of community members requesting [PROGRAM AREA], and we are now operating beyond our capacity. We do not have surplus funds or reserves to support new initiatives. Our organization is taking on this project to address the critical demand for [SERVICE], particularly among vulnerable groups facing barriers. Additional funding is essential to launch and sustain this initiative while continuing to support our existing services effectively.</w:t>
      </w:r>
    </w:p>
    <w:p>
      <w:pPr>
        <w:spacing w:before="360" w:after="180"/>
      </w:pPr>
      <w:r>
        <w:rPr>
          <w:rFonts w:ascii="Arial" w:hAnsi="Arial"/>
          <w:b/>
          <w:color w:val="1F3864"/>
          <w:sz w:val="32"/>
        </w:rPr>
        <w:t>11. Community Statistics (Verify Before Use)</w:t>
      </w:r>
    </w:p>
    <w:p>
      <w:pPr>
        <w:spacing w:after="200"/>
      </w:pPr>
      <w:r>
        <w:rPr>
          <w:rFonts w:ascii="Arial" w:hAnsi="Arial"/>
          <w:i/>
          <w:color w:val="666666"/>
          <w:sz w:val="20"/>
        </w:rPr>
        <w:t>Useful figures to support accessibility, newcomer, and inclusion narratives.</w:t>
      </w:r>
    </w:p>
    <w:p>
      <w:pPr>
        <w:spacing w:after="120"/>
      </w:pPr>
      <w:r>
        <w:rPr>
          <w:rFonts w:ascii="Arial" w:hAnsi="Arial"/>
          <w:sz w:val="22"/>
        </w:rPr>
        <w:t>• 27% of Canadians aged 15+ (approx. 8 million) have at least one disability that limits daily activities. (Statistics Canada)</w:t>
      </w:r>
    </w:p>
    <w:p>
      <w:pPr>
        <w:spacing w:after="120"/>
      </w:pPr>
      <w:r>
        <w:rPr>
          <w:rFonts w:ascii="Arial" w:hAnsi="Arial"/>
          <w:sz w:val="22"/>
        </w:rPr>
        <w:t>• 10.6% of Canadians aged 15+ (over 3 million) reported a mobility disability in 2022. (Statistics Canada)</w:t>
      </w:r>
    </w:p>
    <w:p>
      <w:pPr>
        <w:spacing w:after="200"/>
      </w:pPr>
      <w:r>
        <w:rPr>
          <w:rFonts w:ascii="Arial" w:hAnsi="Arial"/>
          <w:i/>
          <w:color w:val="666666"/>
          <w:sz w:val="20"/>
        </w:rPr>
        <w:t>Always re-verify against the most recent StatCan release before submitting.</w:t>
      </w:r>
    </w:p>
    <w:p>
      <w:pPr>
        <w:spacing w:before="360" w:after="180"/>
      </w:pPr>
      <w:r>
        <w:rPr>
          <w:rFonts w:ascii="Arial" w:hAnsi="Arial"/>
          <w:b/>
          <w:color w:val="1F3864"/>
          <w:sz w:val="32"/>
        </w:rPr>
        <w:t>12. Standard Target Audience Language</w:t>
      </w:r>
    </w:p>
    <w:p>
      <w:pPr>
        <w:spacing w:after="120"/>
      </w:pPr>
      <w:r>
        <w:rPr>
          <w:rFonts w:ascii="Arial" w:hAnsi="Arial"/>
          <w:sz w:val="22"/>
        </w:rPr>
        <w:t>Immigrants who have been in Canada for a long time but still struggle with language; those who never worked in Canada for different reasons (e.g., raising children), or were out of employment for a long time and are not sure how to successfully re-enter the workforce.</w:t>
      </w:r>
    </w:p>
    <w:p>
      <w:pPr>
        <w:spacing w:before="360" w:after="180"/>
      </w:pPr>
      <w:r>
        <w:rPr>
          <w:rFonts w:ascii="Arial" w:hAnsi="Arial"/>
          <w:b/>
          <w:color w:val="1F3864"/>
          <w:sz w:val="32"/>
        </w:rPr>
        <w:t>13. Equity-Deserving Groups KULAN Serves</w:t>
      </w:r>
    </w:p>
    <w:p>
      <w:pPr>
        <w:spacing w:after="120"/>
      </w:pPr>
      <w:r>
        <w:rPr>
          <w:rFonts w:ascii="Arial" w:hAnsi="Arial"/>
          <w:sz w:val="22"/>
        </w:rPr>
        <w:t>• Racial or Ethnic Minorities (East African, Black communities)</w:t>
      </w:r>
    </w:p>
    <w:p>
      <w:pPr>
        <w:spacing w:after="120"/>
      </w:pPr>
      <w:r>
        <w:rPr>
          <w:rFonts w:ascii="Arial" w:hAnsi="Arial"/>
          <w:sz w:val="22"/>
        </w:rPr>
        <w:t>• Immigrants / Refugees / Newcomers</w:t>
      </w:r>
    </w:p>
    <w:p>
      <w:pPr>
        <w:spacing w:after="120"/>
      </w:pPr>
      <w:r>
        <w:rPr>
          <w:rFonts w:ascii="Arial" w:hAnsi="Arial"/>
          <w:sz w:val="22"/>
        </w:rPr>
        <w:t>• Low-Income or Economically Disadvantaged Individuals</w:t>
      </w:r>
    </w:p>
    <w:p>
      <w:pPr>
        <w:spacing w:after="120"/>
      </w:pPr>
      <w:r>
        <w:rPr>
          <w:rFonts w:ascii="Arial" w:hAnsi="Arial"/>
          <w:sz w:val="22"/>
        </w:rPr>
        <w:t>• Youth (12–25)</w:t>
      </w:r>
    </w:p>
    <w:p>
      <w:pPr>
        <w:spacing w:after="120"/>
      </w:pPr>
      <w:r>
        <w:rPr>
          <w:rFonts w:ascii="Arial" w:hAnsi="Arial"/>
          <w:sz w:val="22"/>
        </w:rPr>
        <w:t>• Seniors</w:t>
      </w:r>
    </w:p>
    <w:p>
      <w:pPr>
        <w:spacing w:after="120"/>
      </w:pPr>
      <w:r>
        <w:rPr>
          <w:rFonts w:ascii="Arial" w:hAnsi="Arial"/>
          <w:sz w:val="22"/>
        </w:rPr>
        <w:t>• Women and girls (single mothers, young women)</w:t>
      </w:r>
    </w:p>
    <w:p>
      <w:pPr>
        <w:spacing w:before="360" w:after="180"/>
      </w:pPr>
      <w:r>
        <w:rPr>
          <w:rFonts w:ascii="Arial" w:hAnsi="Arial"/>
          <w:b/>
          <w:color w:val="1F3864"/>
          <w:sz w:val="32"/>
        </w:rPr>
        <w:t>14. Application Hygiene Checklist</w:t>
      </w:r>
    </w:p>
    <w:p>
      <w:pPr>
        <w:spacing w:after="200"/>
      </w:pPr>
      <w:r>
        <w:rPr>
          <w:rFonts w:ascii="Arial" w:hAnsi="Arial"/>
          <w:i/>
          <w:color w:val="666666"/>
          <w:sz w:val="20"/>
        </w:rPr>
        <w:t>Common items missed in the 2024 Employment Support draft — confirm before submitting any future CIP-style application.</w:t>
      </w:r>
    </w:p>
    <w:p>
      <w:pPr>
        <w:spacing w:after="120"/>
      </w:pPr>
      <w:r>
        <w:rPr>
          <w:rFonts w:ascii="Arial" w:hAnsi="Arial"/>
          <w:sz w:val="22"/>
        </w:rPr>
        <w:t>☐  Submission date filled in</w:t>
      </w:r>
    </w:p>
    <w:p>
      <w:pPr>
        <w:spacing w:after="120"/>
      </w:pPr>
      <w:r>
        <w:rPr>
          <w:rFonts w:ascii="Arial" w:hAnsi="Arial"/>
          <w:sz w:val="22"/>
        </w:rPr>
        <w:t>☐  Registration number and registration date filled in</w:t>
      </w:r>
    </w:p>
    <w:p>
      <w:pPr>
        <w:spacing w:after="120"/>
      </w:pPr>
      <w:r>
        <w:rPr>
          <w:rFonts w:ascii="Arial" w:hAnsi="Arial"/>
          <w:sz w:val="22"/>
        </w:rPr>
        <w:t>☐  Signing authority — name, title, phone, email</w:t>
      </w:r>
    </w:p>
    <w:p>
      <w:pPr>
        <w:spacing w:after="120"/>
      </w:pPr>
      <w:r>
        <w:rPr>
          <w:rFonts w:ascii="Arial" w:hAnsi="Arial"/>
          <w:sz w:val="22"/>
        </w:rPr>
        <w:t>☐  Primary contact — name, title, phone, email</w:t>
      </w:r>
    </w:p>
    <w:p>
      <w:pPr>
        <w:spacing w:after="120"/>
      </w:pPr>
      <w:r>
        <w:rPr>
          <w:rFonts w:ascii="Arial" w:hAnsi="Arial"/>
          <w:sz w:val="22"/>
        </w:rPr>
        <w:t>☐  Annual operating budget figure</w:t>
      </w:r>
    </w:p>
    <w:p>
      <w:pPr>
        <w:spacing w:after="120"/>
      </w:pPr>
      <w:r>
        <w:rPr>
          <w:rFonts w:ascii="Arial" w:hAnsi="Arial"/>
          <w:sz w:val="22"/>
        </w:rPr>
        <w:t>☐  Top 3 sources of annual income</w:t>
      </w:r>
    </w:p>
    <w:p>
      <w:pPr>
        <w:spacing w:after="120"/>
      </w:pPr>
      <w:r>
        <w:rPr>
          <w:rFonts w:ascii="Arial" w:hAnsi="Arial"/>
          <w:sz w:val="22"/>
        </w:rPr>
        <w:t>☐  Project focus / type / target audience checkboxes selected</w:t>
      </w:r>
    </w:p>
    <w:p>
      <w:pPr>
        <w:spacing w:after="120"/>
      </w:pPr>
      <w:r>
        <w:rPr>
          <w:rFonts w:ascii="Arial" w:hAnsi="Arial"/>
          <w:sz w:val="22"/>
        </w:rPr>
        <w:t>☐  Estimated number of beneficiaries</w:t>
      </w:r>
    </w:p>
    <w:p>
      <w:pPr>
        <w:spacing w:after="120"/>
      </w:pPr>
      <w:r>
        <w:rPr>
          <w:rFonts w:ascii="Arial" w:hAnsi="Arial"/>
          <w:sz w:val="22"/>
        </w:rPr>
        <w:t>☐  Project start and end dates</w:t>
      </w:r>
    </w:p>
    <w:p>
      <w:pPr>
        <w:spacing w:after="120"/>
      </w:pPr>
      <w:r>
        <w:rPr>
          <w:rFonts w:ascii="Arial" w:hAnsi="Arial"/>
          <w:sz w:val="22"/>
        </w:rPr>
        <w:t>☐  CIP Outcome selected (one only)</w:t>
      </w:r>
    </w:p>
    <w:p>
      <w:pPr>
        <w:spacing w:after="120"/>
      </w:pPr>
      <w:r>
        <w:rPr>
          <w:rFonts w:ascii="Arial" w:hAnsi="Arial"/>
          <w:sz w:val="22"/>
        </w:rPr>
        <w:t>☐  Project Impacts selected (one to three)</w:t>
      </w:r>
    </w:p>
    <w:p>
      <w:pPr>
        <w:spacing w:after="120"/>
      </w:pPr>
      <w:r>
        <w:rPr>
          <w:rFonts w:ascii="Arial" w:hAnsi="Arial"/>
          <w:sz w:val="22"/>
        </w:rPr>
        <w:t>☐  Measures of change identified</w:t>
      </w:r>
    </w:p>
    <w:p>
      <w:pPr>
        <w:spacing w:after="120"/>
      </w:pPr>
      <w:r>
        <w:rPr>
          <w:rFonts w:ascii="Arial" w:hAnsi="Arial"/>
          <w:sz w:val="22"/>
        </w:rPr>
        <w:t>☐  Partnerships / collaborations section completed</w:t>
      </w:r>
    </w:p>
    <w:p>
      <w:pPr>
        <w:spacing w:after="120"/>
      </w:pPr>
      <w:r>
        <w:rPr>
          <w:rFonts w:ascii="Arial" w:hAnsi="Arial"/>
          <w:sz w:val="22"/>
        </w:rPr>
        <w:t>☐  Budget template attached</w:t>
      </w:r>
    </w:p>
    <w:p>
      <w:pPr>
        <w:spacing w:after="120"/>
      </w:pPr>
      <w:r>
        <w:rPr>
          <w:rFonts w:ascii="Arial" w:hAnsi="Arial"/>
          <w:sz w:val="22"/>
        </w:rPr>
        <w:t>☐  Electronic Funds Transfer (EFT) form attached</w:t>
      </w:r>
    </w:p>
    <w:p>
      <w:pPr>
        <w:spacing w:after="120"/>
      </w:pPr>
      <w:r>
        <w:rPr>
          <w:rFonts w:ascii="Arial" w:hAnsi="Arial"/>
          <w:sz w:val="22"/>
        </w:rPr>
        <w:t>☐  Financial statements signed by two signing authorities</w:t>
      </w:r>
    </w:p>
    <w:p>
      <w:pPr>
        <w:spacing w:after="120"/>
      </w:pPr>
      <w:r>
        <w:rPr>
          <w:rFonts w:ascii="Arial" w:hAnsi="Arial"/>
          <w:sz w:val="22"/>
        </w:rPr>
        <w:t>☐  Quotes for any project activity</w:t>
      </w:r>
    </w:p>
    <w:p>
      <w:pPr>
        <w:spacing w:after="120"/>
      </w:pPr>
      <w:r>
        <w:rPr>
          <w:rFonts w:ascii="Arial" w:hAnsi="Arial"/>
          <w:sz w:val="22"/>
        </w:rPr>
        <w:t>☐  All acknowledgement boxes checked</w:t>
      </w:r>
    </w:p>
    <w:p>
      <w:pPr>
        <w:spacing w:after="120"/>
      </w:pPr>
      <w:r>
        <w:rPr>
          <w:rFonts w:ascii="Arial" w:hAnsi="Arial"/>
          <w:sz w:val="22"/>
        </w:rPr>
        <w:t>☐  Authorized representative signature, name, position,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